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B45CB" w14:textId="77777777" w:rsidR="00062A52" w:rsidRPr="00495C2B" w:rsidRDefault="00062A52" w:rsidP="00BA3343">
      <w:pPr>
        <w:pStyle w:val="Heading1"/>
      </w:pPr>
    </w:p>
    <w:p w14:paraId="37293C58" w14:textId="78FCE03C" w:rsidR="00C45BEC" w:rsidRPr="00495C2B" w:rsidRDefault="005C2035" w:rsidP="00BA3343">
      <w:pPr>
        <w:pStyle w:val="Heading1"/>
      </w:pPr>
      <w:bookmarkStart w:id="0" w:name="_Hlk178073172"/>
      <w:r w:rsidRPr="00495C2B">
        <w:t>D</w:t>
      </w:r>
      <w:r w:rsidR="003572CF" w:rsidRPr="00495C2B">
        <w:t>raft model standards and procedures for specialist medical college</w:t>
      </w:r>
      <w:r w:rsidR="008A7441" w:rsidRPr="00495C2B">
        <w:t xml:space="preserve"> accreditation of training settings</w:t>
      </w:r>
      <w:bookmarkEnd w:id="0"/>
    </w:p>
    <w:p w14:paraId="4670B17B" w14:textId="5142761D" w:rsidR="005C2035" w:rsidRPr="00495C2B" w:rsidRDefault="005C2035" w:rsidP="00B06AC3">
      <w:pPr>
        <w:spacing w:before="120"/>
        <w:jc w:val="both"/>
        <w:rPr>
          <w:rFonts w:cs="Calibri"/>
          <w:iCs/>
          <w:sz w:val="22"/>
          <w:szCs w:val="22"/>
        </w:rPr>
      </w:pPr>
      <w:r w:rsidRPr="00495C2B">
        <w:rPr>
          <w:rFonts w:cs="Calibri"/>
          <w:iCs/>
          <w:sz w:val="22"/>
          <w:szCs w:val="22"/>
        </w:rPr>
        <w:t xml:space="preserve">Thank you for providing feedback on the </w:t>
      </w:r>
      <w:bookmarkStart w:id="1" w:name="_Hlk178077140"/>
      <w:r w:rsidR="008A7441" w:rsidRPr="00495C2B">
        <w:rPr>
          <w:rFonts w:cs="Calibri"/>
          <w:iCs/>
          <w:sz w:val="22"/>
          <w:szCs w:val="22"/>
        </w:rPr>
        <w:t>draft model standards and procedures for specialist medical college accreditation of training settings</w:t>
      </w:r>
      <w:bookmarkEnd w:id="1"/>
      <w:r w:rsidR="008A7441" w:rsidRPr="00495C2B">
        <w:rPr>
          <w:rFonts w:cs="Calibri"/>
          <w:iCs/>
          <w:sz w:val="22"/>
          <w:szCs w:val="22"/>
        </w:rPr>
        <w:t>.</w:t>
      </w:r>
    </w:p>
    <w:p w14:paraId="2C997AE7" w14:textId="685C85CE" w:rsidR="00674705" w:rsidRPr="00495C2B" w:rsidRDefault="00674705" w:rsidP="00B06AC3">
      <w:pPr>
        <w:spacing w:before="120"/>
        <w:jc w:val="both"/>
        <w:rPr>
          <w:rFonts w:cs="Calibri"/>
          <w:iCs/>
          <w:sz w:val="22"/>
          <w:szCs w:val="22"/>
        </w:rPr>
      </w:pPr>
      <w:r w:rsidRPr="00495C2B">
        <w:rPr>
          <w:rFonts w:cs="Calibri"/>
          <w:iCs/>
          <w:sz w:val="22"/>
          <w:szCs w:val="22"/>
        </w:rPr>
        <w:t xml:space="preserve">In this consultation, the AMC has included </w:t>
      </w:r>
      <w:proofErr w:type="gramStart"/>
      <w:r w:rsidRPr="00495C2B">
        <w:rPr>
          <w:rFonts w:cs="Calibri"/>
          <w:iCs/>
          <w:sz w:val="22"/>
          <w:szCs w:val="22"/>
        </w:rPr>
        <w:t>particular questions</w:t>
      </w:r>
      <w:proofErr w:type="gramEnd"/>
      <w:r w:rsidRPr="00495C2B">
        <w:rPr>
          <w:rFonts w:cs="Calibri"/>
          <w:iCs/>
          <w:sz w:val="22"/>
          <w:szCs w:val="22"/>
        </w:rPr>
        <w:t xml:space="preserve"> for colleges and health services as the primary users of the standards and procedures. However, the AMC welcomes feedback from all stakeholders, and stakeholders are invited to answer any of the questions as they see relevant.</w:t>
      </w:r>
    </w:p>
    <w:p w14:paraId="6C5590F4" w14:textId="66E21004" w:rsidR="005C2035" w:rsidRPr="00495C2B" w:rsidRDefault="005C2035" w:rsidP="00BA3343">
      <w:pPr>
        <w:spacing w:before="120" w:after="240"/>
        <w:jc w:val="both"/>
        <w:rPr>
          <w:rFonts w:cs="Calibri"/>
          <w:b/>
          <w:iCs/>
          <w:sz w:val="22"/>
          <w:szCs w:val="22"/>
        </w:rPr>
      </w:pPr>
      <w:r w:rsidRPr="00495C2B">
        <w:rPr>
          <w:rFonts w:cs="Calibri"/>
          <w:iCs/>
          <w:sz w:val="22"/>
          <w:szCs w:val="22"/>
        </w:rPr>
        <w:t xml:space="preserve">To return your feedback, please email this form in </w:t>
      </w:r>
      <w:r w:rsidRPr="00495C2B">
        <w:rPr>
          <w:rFonts w:cs="Calibri"/>
          <w:b/>
          <w:bCs/>
          <w:iCs/>
          <w:sz w:val="22"/>
          <w:szCs w:val="22"/>
        </w:rPr>
        <w:t>MS Word</w:t>
      </w:r>
      <w:r w:rsidRPr="00495C2B">
        <w:rPr>
          <w:rFonts w:cs="Calibri"/>
          <w:iCs/>
          <w:sz w:val="22"/>
          <w:szCs w:val="22"/>
        </w:rPr>
        <w:t xml:space="preserve"> format to </w:t>
      </w:r>
      <w:hyperlink r:id="rId11" w:history="1">
        <w:r w:rsidRPr="00495C2B">
          <w:rPr>
            <w:rStyle w:val="Hyperlink"/>
            <w:rFonts w:cs="Calibri"/>
            <w:b/>
            <w:bCs/>
            <w:iCs/>
            <w:color w:val="35A4B6" w:themeColor="accent6" w:themeShade="80"/>
            <w:sz w:val="22"/>
            <w:szCs w:val="22"/>
          </w:rPr>
          <w:t>accreditation@amc.org.au</w:t>
        </w:r>
      </w:hyperlink>
      <w:r w:rsidRPr="00495C2B">
        <w:rPr>
          <w:rFonts w:cs="Calibri"/>
          <w:iCs/>
          <w:sz w:val="22"/>
          <w:szCs w:val="22"/>
        </w:rPr>
        <w:t xml:space="preserve"> by </w:t>
      </w:r>
      <w:r w:rsidR="00122275" w:rsidRPr="00495C2B">
        <w:rPr>
          <w:rFonts w:cs="Calibri"/>
          <w:iCs/>
          <w:sz w:val="22"/>
          <w:szCs w:val="22"/>
        </w:rPr>
        <w:t xml:space="preserve">close of business on </w:t>
      </w:r>
      <w:r w:rsidR="00A62979" w:rsidRPr="00495C2B">
        <w:rPr>
          <w:rFonts w:cs="Calibri"/>
          <w:b/>
          <w:iCs/>
          <w:sz w:val="22"/>
          <w:szCs w:val="22"/>
        </w:rPr>
        <w:t>1</w:t>
      </w:r>
      <w:r w:rsidR="00122275" w:rsidRPr="00495C2B">
        <w:rPr>
          <w:rFonts w:cs="Calibri"/>
          <w:b/>
          <w:iCs/>
          <w:sz w:val="22"/>
          <w:szCs w:val="22"/>
        </w:rPr>
        <w:t>1</w:t>
      </w:r>
      <w:r w:rsidR="00A62979" w:rsidRPr="00495C2B">
        <w:rPr>
          <w:rFonts w:cs="Calibri"/>
          <w:b/>
          <w:iCs/>
          <w:sz w:val="22"/>
          <w:szCs w:val="22"/>
        </w:rPr>
        <w:t xml:space="preserve"> </w:t>
      </w:r>
      <w:r w:rsidR="00122275" w:rsidRPr="00495C2B">
        <w:rPr>
          <w:rFonts w:cs="Calibri"/>
          <w:b/>
          <w:iCs/>
          <w:sz w:val="22"/>
          <w:szCs w:val="22"/>
        </w:rPr>
        <w:t xml:space="preserve">November </w:t>
      </w:r>
      <w:r w:rsidRPr="00495C2B">
        <w:rPr>
          <w:rFonts w:cs="Calibri"/>
          <w:b/>
          <w:iCs/>
          <w:sz w:val="22"/>
          <w:szCs w:val="22"/>
        </w:rPr>
        <w:t>2024.</w:t>
      </w:r>
    </w:p>
    <w:p w14:paraId="3E9642F4" w14:textId="59348F3A" w:rsidR="00646562" w:rsidRPr="00495C2B" w:rsidRDefault="00646562" w:rsidP="00BA3343">
      <w:pPr>
        <w:spacing w:before="120" w:after="240"/>
        <w:jc w:val="both"/>
        <w:rPr>
          <w:rFonts w:cs="Calibri"/>
          <w:bCs/>
          <w:iCs/>
          <w:color w:val="FF0000"/>
          <w:sz w:val="22"/>
          <w:szCs w:val="22"/>
        </w:rPr>
      </w:pPr>
      <w:r w:rsidRPr="00495C2B">
        <w:rPr>
          <w:rFonts w:cs="Calibri"/>
          <w:bCs/>
          <w:iCs/>
          <w:color w:val="FF0000"/>
          <w:sz w:val="22"/>
          <w:szCs w:val="22"/>
        </w:rPr>
        <w:t xml:space="preserve">Note, this response </w:t>
      </w:r>
      <w:r w:rsidR="003D0EFD" w:rsidRPr="00495C2B">
        <w:rPr>
          <w:rFonts w:cs="Calibri"/>
          <w:bCs/>
          <w:iCs/>
          <w:color w:val="FF0000"/>
          <w:sz w:val="22"/>
          <w:szCs w:val="22"/>
        </w:rPr>
        <w:t xml:space="preserve">is a combined response from the Australian and New Zealand College of </w:t>
      </w:r>
      <w:r w:rsidR="000C2211" w:rsidRPr="00495C2B">
        <w:rPr>
          <w:rFonts w:cs="Calibri"/>
          <w:bCs/>
          <w:iCs/>
          <w:color w:val="FF0000"/>
          <w:sz w:val="22"/>
          <w:szCs w:val="22"/>
        </w:rPr>
        <w:t>Anaesthetists</w:t>
      </w:r>
      <w:r w:rsidR="003D0EFD" w:rsidRPr="00495C2B">
        <w:rPr>
          <w:rFonts w:cs="Calibri"/>
          <w:bCs/>
          <w:iCs/>
          <w:color w:val="FF0000"/>
          <w:sz w:val="22"/>
          <w:szCs w:val="22"/>
        </w:rPr>
        <w:t xml:space="preserve"> (ANZCA)</w:t>
      </w:r>
      <w:r w:rsidR="00461A3B" w:rsidRPr="00495C2B">
        <w:rPr>
          <w:rFonts w:cs="Calibri"/>
          <w:bCs/>
          <w:iCs/>
          <w:color w:val="FF0000"/>
          <w:sz w:val="22"/>
          <w:szCs w:val="22"/>
        </w:rPr>
        <w:t xml:space="preserve"> and the Faculty of Pain Medicine (FPM)</w:t>
      </w:r>
      <w:r w:rsidR="00830953" w:rsidRPr="00495C2B">
        <w:rPr>
          <w:rFonts w:cs="Calibri"/>
          <w:bCs/>
          <w:iCs/>
          <w:color w:val="FF0000"/>
          <w:sz w:val="22"/>
          <w:szCs w:val="22"/>
        </w:rPr>
        <w:t xml:space="preserve">, which operates under ANZCA. </w:t>
      </w:r>
      <w:r w:rsidR="00461A3B" w:rsidRPr="00495C2B">
        <w:rPr>
          <w:rFonts w:cs="Calibri"/>
          <w:bCs/>
          <w:iCs/>
          <w:color w:val="FF0000"/>
          <w:sz w:val="22"/>
          <w:szCs w:val="22"/>
        </w:rPr>
        <w:t xml:space="preserve"> </w:t>
      </w:r>
    </w:p>
    <w:tbl>
      <w:tblPr>
        <w:tblStyle w:val="TableGrid"/>
        <w:tblW w:w="9634" w:type="dxa"/>
        <w:tblLook w:val="04A0" w:firstRow="1" w:lastRow="0" w:firstColumn="1" w:lastColumn="0" w:noHBand="0" w:noVBand="1"/>
      </w:tblPr>
      <w:tblGrid>
        <w:gridCol w:w="9634"/>
      </w:tblGrid>
      <w:tr w:rsidR="005C2035" w:rsidRPr="00495C2B" w14:paraId="1A97652A" w14:textId="77777777" w:rsidTr="6AA2306C">
        <w:tc>
          <w:tcPr>
            <w:tcW w:w="9634" w:type="dxa"/>
            <w:shd w:val="clear" w:color="auto" w:fill="2D7E8E" w:themeFill="accent3" w:themeFillShade="BF"/>
            <w:vAlign w:val="center"/>
          </w:tcPr>
          <w:p w14:paraId="56FF48C4" w14:textId="63EA73BB" w:rsidR="005C2035" w:rsidRPr="00495C2B" w:rsidRDefault="00E32EFB" w:rsidP="00057AEA">
            <w:pPr>
              <w:spacing w:before="120" w:after="120"/>
              <w:rPr>
                <w:bCs/>
                <w:sz w:val="28"/>
                <w:szCs w:val="28"/>
                <w:lang w:val="en-AU"/>
              </w:rPr>
            </w:pPr>
            <w:r w:rsidRPr="00495C2B">
              <w:rPr>
                <w:bCs/>
                <w:color w:val="F2F2F2" w:themeColor="background1" w:themeShade="F2"/>
                <w:sz w:val="28"/>
                <w:szCs w:val="28"/>
                <w:lang w:val="en-AU"/>
              </w:rPr>
              <w:t xml:space="preserve">Consultation questions relating to </w:t>
            </w:r>
            <w:r w:rsidRPr="00495C2B">
              <w:rPr>
                <w:b/>
                <w:color w:val="F2F2F2" w:themeColor="background1" w:themeShade="F2"/>
                <w:sz w:val="28"/>
                <w:szCs w:val="28"/>
                <w:lang w:val="en-AU"/>
              </w:rPr>
              <w:t>draft model standards</w:t>
            </w:r>
            <w:r w:rsidR="005C2035" w:rsidRPr="00495C2B">
              <w:rPr>
                <w:bCs/>
                <w:color w:val="F2F2F2" w:themeColor="background1" w:themeShade="F2"/>
                <w:sz w:val="28"/>
                <w:szCs w:val="28"/>
                <w:lang w:val="en-AU"/>
              </w:rPr>
              <w:t>:</w:t>
            </w:r>
          </w:p>
        </w:tc>
      </w:tr>
      <w:tr w:rsidR="00A646B1" w:rsidRPr="00495C2B" w14:paraId="2FDB23FD" w14:textId="77777777" w:rsidTr="6AA2306C">
        <w:tc>
          <w:tcPr>
            <w:tcW w:w="9634" w:type="dxa"/>
            <w:shd w:val="clear" w:color="auto" w:fill="2D7E8E" w:themeFill="accent3" w:themeFillShade="BF"/>
            <w:vAlign w:val="center"/>
          </w:tcPr>
          <w:p w14:paraId="2FA38968" w14:textId="235746A1" w:rsidR="00A646B1" w:rsidRPr="00495C2B" w:rsidRDefault="00A646B1" w:rsidP="00A646B1">
            <w:pPr>
              <w:spacing w:before="120" w:after="120"/>
              <w:rPr>
                <w:b/>
                <w:color w:val="F2F2F2" w:themeColor="background1" w:themeShade="F2"/>
                <w:lang w:val="en-AU"/>
              </w:rPr>
            </w:pPr>
            <w:r w:rsidRPr="00495C2B">
              <w:rPr>
                <w:b/>
                <w:color w:val="F2F2F2" w:themeColor="background1" w:themeShade="F2"/>
                <w:lang w:val="en-AU"/>
              </w:rPr>
              <w:t xml:space="preserve">General </w:t>
            </w:r>
            <w:r w:rsidR="00895D5A" w:rsidRPr="00495C2B">
              <w:rPr>
                <w:b/>
                <w:color w:val="F2F2F2" w:themeColor="background1" w:themeShade="F2"/>
                <w:lang w:val="en-AU"/>
              </w:rPr>
              <w:t>feedback</w:t>
            </w:r>
          </w:p>
        </w:tc>
      </w:tr>
      <w:tr w:rsidR="00062A52" w:rsidRPr="00495C2B" w14:paraId="2AD344CE" w14:textId="77777777" w:rsidTr="6AA2306C">
        <w:trPr>
          <w:trHeight w:val="841"/>
        </w:trPr>
        <w:tc>
          <w:tcPr>
            <w:tcW w:w="9634" w:type="dxa"/>
            <w:shd w:val="clear" w:color="auto" w:fill="D7EEF2" w:themeFill="accent3" w:themeFillTint="33"/>
            <w:vAlign w:val="center"/>
          </w:tcPr>
          <w:p w14:paraId="558A0449" w14:textId="1329C436" w:rsidR="00062A52" w:rsidRPr="00495C2B" w:rsidRDefault="00660ABF" w:rsidP="00057AEA">
            <w:pPr>
              <w:spacing w:before="120" w:after="120"/>
              <w:jc w:val="both"/>
              <w:rPr>
                <w:rFonts w:cstheme="minorHAnsi"/>
                <w:lang w:val="en-AU"/>
              </w:rPr>
            </w:pPr>
            <w:r w:rsidRPr="00495C2B">
              <w:rPr>
                <w:rFonts w:ascii="Calibri" w:hAnsi="Calibri" w:cs="Calibri"/>
                <w:lang w:val="en-AU"/>
              </w:rPr>
              <w:t>Are the model standards easy to read and understand?</w:t>
            </w:r>
          </w:p>
        </w:tc>
      </w:tr>
      <w:tr w:rsidR="00062A52" w:rsidRPr="00495C2B" w14:paraId="5468F3F7" w14:textId="77777777" w:rsidTr="6AA2306C">
        <w:trPr>
          <w:trHeight w:val="983"/>
        </w:trPr>
        <w:tc>
          <w:tcPr>
            <w:tcW w:w="9634" w:type="dxa"/>
            <w:shd w:val="clear" w:color="auto" w:fill="auto"/>
            <w:vAlign w:val="center"/>
          </w:tcPr>
          <w:p w14:paraId="4D841F5F" w14:textId="70D4D5D2" w:rsidR="00653F05" w:rsidRPr="00495C2B" w:rsidRDefault="00AF6E50" w:rsidP="00653F05">
            <w:pPr>
              <w:spacing w:before="120" w:after="120"/>
              <w:rPr>
                <w:lang w:val="en-AU"/>
              </w:rPr>
            </w:pPr>
            <w:r w:rsidRPr="00495C2B">
              <w:rPr>
                <w:lang w:val="en-AU"/>
              </w:rPr>
              <w:t>Yes</w:t>
            </w:r>
            <w:r w:rsidR="0087435C" w:rsidRPr="00495C2B">
              <w:rPr>
                <w:lang w:val="en-AU"/>
              </w:rPr>
              <w:t xml:space="preserve">, </w:t>
            </w:r>
            <w:r w:rsidR="00653F05" w:rsidRPr="00495C2B">
              <w:rPr>
                <w:lang w:val="en-AU"/>
              </w:rPr>
              <w:t xml:space="preserve">the model standards are generally </w:t>
            </w:r>
            <w:r w:rsidR="0087435C" w:rsidRPr="00495C2B">
              <w:rPr>
                <w:lang w:val="en-AU"/>
              </w:rPr>
              <w:t>easy to understand</w:t>
            </w:r>
            <w:r w:rsidR="00402A39">
              <w:rPr>
                <w:lang w:val="en-AU"/>
              </w:rPr>
              <w:t xml:space="preserve"> (however may be considered lengthy</w:t>
            </w:r>
            <w:r w:rsidR="00402A39" w:rsidRPr="00402A39">
              <w:rPr>
                <w:lang w:val="en-AU"/>
              </w:rPr>
              <w:t xml:space="preserve"> and difficult to read particularly for those who do not have exposure to the accreditation process</w:t>
            </w:r>
            <w:r w:rsidR="00402A39">
              <w:rPr>
                <w:lang w:val="en-AU"/>
              </w:rPr>
              <w:t>).</w:t>
            </w:r>
          </w:p>
          <w:p w14:paraId="1AC43C99" w14:textId="7D028A8B" w:rsidR="00E26AB4" w:rsidRPr="00495C2B" w:rsidRDefault="00653F05" w:rsidP="00653F05">
            <w:pPr>
              <w:spacing w:before="120" w:after="120"/>
              <w:rPr>
                <w:lang w:val="en-AU"/>
              </w:rPr>
            </w:pPr>
            <w:r w:rsidRPr="00495C2B">
              <w:rPr>
                <w:lang w:val="en-AU"/>
              </w:rPr>
              <w:t xml:space="preserve">As a suggestion, </w:t>
            </w:r>
            <w:r w:rsidR="004E19D0" w:rsidRPr="00495C2B">
              <w:rPr>
                <w:lang w:val="en-AU"/>
              </w:rPr>
              <w:t>u</w:t>
            </w:r>
            <w:r w:rsidR="00E26AB4" w:rsidRPr="00495C2B">
              <w:rPr>
                <w:lang w:val="en-AU"/>
              </w:rPr>
              <w:t xml:space="preserve">nder standard 1 the order of criterion </w:t>
            </w:r>
            <w:r w:rsidR="004E19D0" w:rsidRPr="00495C2B">
              <w:rPr>
                <w:lang w:val="en-AU"/>
              </w:rPr>
              <w:t xml:space="preserve">may </w:t>
            </w:r>
            <w:r w:rsidR="00E26AB4" w:rsidRPr="00495C2B">
              <w:rPr>
                <w:lang w:val="en-AU"/>
              </w:rPr>
              <w:t xml:space="preserve">be better to start </w:t>
            </w:r>
            <w:r w:rsidR="009826DC" w:rsidRPr="00495C2B">
              <w:rPr>
                <w:lang w:val="en-AU"/>
              </w:rPr>
              <w:t>with</w:t>
            </w:r>
            <w:r w:rsidR="00E26AB4" w:rsidRPr="00495C2B">
              <w:rPr>
                <w:lang w:val="en-AU"/>
              </w:rPr>
              <w:t xml:space="preserve"> positive criteria such as 1.1.3 rather than negative criteria.</w:t>
            </w:r>
          </w:p>
          <w:p w14:paraId="0310E067" w14:textId="7C1C206D" w:rsidR="009826DC" w:rsidRPr="00495C2B" w:rsidRDefault="009826DC" w:rsidP="00653F05">
            <w:pPr>
              <w:spacing w:before="120" w:after="120"/>
              <w:rPr>
                <w:lang w:val="en-AU"/>
              </w:rPr>
            </w:pPr>
            <w:r w:rsidRPr="00495C2B">
              <w:rPr>
                <w:lang w:val="en-AU"/>
              </w:rPr>
              <w:t>Some suggestions for terms</w:t>
            </w:r>
            <w:r w:rsidR="0067353D" w:rsidRPr="00495C2B">
              <w:rPr>
                <w:lang w:val="en-AU"/>
              </w:rPr>
              <w:t xml:space="preserve"> and definitions</w:t>
            </w:r>
            <w:r w:rsidRPr="00495C2B">
              <w:rPr>
                <w:lang w:val="en-AU"/>
              </w:rPr>
              <w:t xml:space="preserve"> include:</w:t>
            </w:r>
          </w:p>
          <w:p w14:paraId="266EF053" w14:textId="77777777" w:rsidR="00D54CB8" w:rsidRPr="00495C2B" w:rsidRDefault="00DA5521" w:rsidP="0067353D">
            <w:pPr>
              <w:pStyle w:val="ListParagraph"/>
              <w:numPr>
                <w:ilvl w:val="0"/>
                <w:numId w:val="13"/>
              </w:numPr>
              <w:spacing w:before="120"/>
              <w:rPr>
                <w:lang w:val="en-AU"/>
              </w:rPr>
            </w:pPr>
            <w:r w:rsidRPr="00495C2B">
              <w:rPr>
                <w:lang w:val="en-AU"/>
              </w:rPr>
              <w:t xml:space="preserve">The terms used as definitions, in particular training program, training provider and training setting are in themselves good terms but </w:t>
            </w:r>
            <w:r w:rsidR="001D2772" w:rsidRPr="00495C2B">
              <w:rPr>
                <w:lang w:val="en-AU"/>
              </w:rPr>
              <w:t xml:space="preserve">perhaps the </w:t>
            </w:r>
            <w:r w:rsidRPr="00495C2B">
              <w:rPr>
                <w:lang w:val="en-AU"/>
              </w:rPr>
              <w:t>defin</w:t>
            </w:r>
            <w:r w:rsidR="001D2772" w:rsidRPr="00495C2B">
              <w:rPr>
                <w:lang w:val="en-AU"/>
              </w:rPr>
              <w:t>ition could be improved</w:t>
            </w:r>
            <w:r w:rsidRPr="00495C2B">
              <w:rPr>
                <w:lang w:val="en-AU"/>
              </w:rPr>
              <w:t xml:space="preserve"> and </w:t>
            </w:r>
            <w:r w:rsidR="001D2772" w:rsidRPr="00495C2B">
              <w:rPr>
                <w:lang w:val="en-AU"/>
              </w:rPr>
              <w:t>used more</w:t>
            </w:r>
            <w:r w:rsidRPr="00495C2B">
              <w:rPr>
                <w:lang w:val="en-AU"/>
              </w:rPr>
              <w:t xml:space="preserve"> consistently within the document. </w:t>
            </w:r>
          </w:p>
          <w:p w14:paraId="4D0F29A4" w14:textId="6B75C6D8" w:rsidR="0061668E" w:rsidRPr="00495C2B" w:rsidRDefault="0091040C" w:rsidP="0061668E">
            <w:pPr>
              <w:pStyle w:val="ListParagraph"/>
              <w:numPr>
                <w:ilvl w:val="0"/>
                <w:numId w:val="13"/>
              </w:numPr>
              <w:spacing w:before="120"/>
              <w:rPr>
                <w:lang w:val="en-AU"/>
              </w:rPr>
            </w:pPr>
            <w:r>
              <w:rPr>
                <w:lang w:val="en-AU"/>
              </w:rPr>
              <w:t>T</w:t>
            </w:r>
            <w:r w:rsidR="00DA5521" w:rsidRPr="00495C2B">
              <w:rPr>
                <w:lang w:val="en-AU"/>
              </w:rPr>
              <w:t>he definition of training program fails to include roles in practice which is</w:t>
            </w:r>
            <w:r w:rsidR="00393193" w:rsidRPr="00495C2B">
              <w:rPr>
                <w:lang w:val="en-AU"/>
              </w:rPr>
              <w:t xml:space="preserve"> a</w:t>
            </w:r>
            <w:r w:rsidR="00DA5521" w:rsidRPr="00495C2B">
              <w:rPr>
                <w:lang w:val="en-AU"/>
              </w:rPr>
              <w:t xml:space="preserve"> central part of a training program. </w:t>
            </w:r>
            <w:r w:rsidR="0061668E" w:rsidRPr="00495C2B">
              <w:rPr>
                <w:lang w:val="en-AU"/>
              </w:rPr>
              <w:t xml:space="preserve">If a training program is the curriculum, roles in practice and assessment process then the accreditation process is assessing which components of the curriculum and roles in practice a training setting can currently provide and whether they are preforming the clinically based assessments to an acceptable standard. </w:t>
            </w:r>
          </w:p>
          <w:p w14:paraId="2A4B34EE" w14:textId="4D45A6D1" w:rsidR="00DA3465" w:rsidRDefault="00DA5521" w:rsidP="00DA3465">
            <w:pPr>
              <w:pStyle w:val="ListParagraph"/>
              <w:numPr>
                <w:ilvl w:val="0"/>
                <w:numId w:val="13"/>
              </w:numPr>
              <w:spacing w:before="120"/>
              <w:rPr>
                <w:lang w:val="en-AU"/>
              </w:rPr>
            </w:pPr>
            <w:r w:rsidRPr="00495C2B">
              <w:rPr>
                <w:lang w:val="en-AU"/>
              </w:rPr>
              <w:t xml:space="preserve">The term training provider is a good </w:t>
            </w:r>
            <w:proofErr w:type="gramStart"/>
            <w:r w:rsidRPr="00495C2B">
              <w:rPr>
                <w:lang w:val="en-AU"/>
              </w:rPr>
              <w:t>term</w:t>
            </w:r>
            <w:proofErr w:type="gramEnd"/>
            <w:r w:rsidRPr="00495C2B">
              <w:rPr>
                <w:lang w:val="en-AU"/>
              </w:rPr>
              <w:t xml:space="preserve"> and it is appropriate that it should include government departments, however under 2.1.6 </w:t>
            </w:r>
            <w:r w:rsidR="00A37788">
              <w:rPr>
                <w:lang w:val="en-AU"/>
              </w:rPr>
              <w:t>(</w:t>
            </w:r>
            <w:r w:rsidR="00A37788" w:rsidRPr="00A37788">
              <w:rPr>
                <w:lang w:val="en-AU"/>
              </w:rPr>
              <w:t>The training provider has been accredited by relevant accreditation Bodies</w:t>
            </w:r>
            <w:r w:rsidR="00A37788">
              <w:rPr>
                <w:lang w:val="en-AU"/>
              </w:rPr>
              <w:t xml:space="preserve">) </w:t>
            </w:r>
            <w:r w:rsidR="000D7BF6" w:rsidRPr="00495C2B">
              <w:rPr>
                <w:lang w:val="en-AU"/>
              </w:rPr>
              <w:t>it is uncl</w:t>
            </w:r>
            <w:r w:rsidR="00261875" w:rsidRPr="00495C2B">
              <w:rPr>
                <w:lang w:val="en-AU"/>
              </w:rPr>
              <w:t>ear who is</w:t>
            </w:r>
            <w:r w:rsidRPr="00495C2B">
              <w:rPr>
                <w:lang w:val="en-AU"/>
              </w:rPr>
              <w:t xml:space="preserve"> the accreditation body for a government department? </w:t>
            </w:r>
          </w:p>
          <w:p w14:paraId="48AA9D7F" w14:textId="0286D4FA" w:rsidR="00D8022A" w:rsidRPr="00DA3465" w:rsidRDefault="7E0FF801" w:rsidP="00DA3465">
            <w:pPr>
              <w:pStyle w:val="ListParagraph"/>
              <w:numPr>
                <w:ilvl w:val="0"/>
                <w:numId w:val="13"/>
              </w:numPr>
              <w:spacing w:before="120"/>
              <w:rPr>
                <w:lang w:val="en-AU"/>
              </w:rPr>
            </w:pPr>
            <w:r w:rsidRPr="00DA3465">
              <w:rPr>
                <w:lang w:val="en-AU"/>
              </w:rPr>
              <w:t xml:space="preserve">A </w:t>
            </w:r>
            <w:r w:rsidR="6E4B3D2E" w:rsidRPr="00DA3465">
              <w:rPr>
                <w:lang w:val="en-AU"/>
              </w:rPr>
              <w:t>clear defin</w:t>
            </w:r>
            <w:r w:rsidRPr="00DA3465">
              <w:rPr>
                <w:lang w:val="en-AU"/>
              </w:rPr>
              <w:t xml:space="preserve">ition of </w:t>
            </w:r>
            <w:r w:rsidR="6E4B3D2E" w:rsidRPr="00DA3465">
              <w:rPr>
                <w:lang w:val="en-AU"/>
              </w:rPr>
              <w:t>what an accreditation process is and</w:t>
            </w:r>
            <w:r w:rsidR="263ABE1C" w:rsidRPr="00DA3465">
              <w:rPr>
                <w:lang w:val="en-AU"/>
              </w:rPr>
              <w:t>,</w:t>
            </w:r>
            <w:r w:rsidR="6E4B3D2E" w:rsidRPr="00DA3465">
              <w:rPr>
                <w:lang w:val="en-AU"/>
              </w:rPr>
              <w:t xml:space="preserve"> just as importantly</w:t>
            </w:r>
            <w:r w:rsidR="263ABE1C" w:rsidRPr="00DA3465">
              <w:rPr>
                <w:lang w:val="en-AU"/>
              </w:rPr>
              <w:t>,</w:t>
            </w:r>
            <w:r w:rsidR="6E4B3D2E" w:rsidRPr="00DA3465">
              <w:rPr>
                <w:lang w:val="en-AU"/>
              </w:rPr>
              <w:t xml:space="preserve"> what it is not</w:t>
            </w:r>
            <w:r w:rsidR="263ABE1C" w:rsidRPr="00DA3465">
              <w:rPr>
                <w:lang w:val="en-AU"/>
              </w:rPr>
              <w:t xml:space="preserve"> would be beneficial</w:t>
            </w:r>
            <w:r w:rsidR="2D2440FE" w:rsidRPr="00DA3465">
              <w:rPr>
                <w:lang w:val="en-AU"/>
              </w:rPr>
              <w:t xml:space="preserve"> to qualify</w:t>
            </w:r>
            <w:r w:rsidR="6E4B3D2E" w:rsidRPr="00DA3465">
              <w:rPr>
                <w:lang w:val="en-AU"/>
              </w:rPr>
              <w:t>. Accreditation processes often use clinical quality as a surrogate for training quality and then use staffing and equipment concerns as a reason to remove accreditation. Poor quality medicine should be a concern for training providers, training setting</w:t>
            </w:r>
            <w:r w:rsidR="56DF0215" w:rsidRPr="00DA3465">
              <w:rPr>
                <w:lang w:val="en-AU"/>
              </w:rPr>
              <w:t>s</w:t>
            </w:r>
            <w:r w:rsidR="6E4B3D2E" w:rsidRPr="00DA3465">
              <w:rPr>
                <w:lang w:val="en-AU"/>
              </w:rPr>
              <w:t xml:space="preserve"> and the colleges but this should be managed separately to </w:t>
            </w:r>
            <w:r w:rsidR="6280AC27" w:rsidRPr="00DA3465">
              <w:rPr>
                <w:lang w:val="en-AU"/>
              </w:rPr>
              <w:t xml:space="preserve">the </w:t>
            </w:r>
            <w:r w:rsidR="6E4B3D2E" w:rsidRPr="00DA3465">
              <w:rPr>
                <w:lang w:val="en-AU"/>
              </w:rPr>
              <w:t xml:space="preserve">training quality; this document attempts to only look at training quality but by removing clinical quality the AMC is removing the canary in the </w:t>
            </w:r>
            <w:r w:rsidR="20AC89C3" w:rsidRPr="00DA3465">
              <w:rPr>
                <w:lang w:val="en-AU"/>
              </w:rPr>
              <w:t xml:space="preserve">coal </w:t>
            </w:r>
            <w:r w:rsidR="6E4B3D2E" w:rsidRPr="00DA3465">
              <w:rPr>
                <w:lang w:val="en-AU"/>
              </w:rPr>
              <w:t xml:space="preserve">mine. </w:t>
            </w:r>
            <w:r w:rsidR="13D44121" w:rsidRPr="00DA3465">
              <w:rPr>
                <w:color w:val="000000" w:themeColor="text1"/>
                <w:lang w:val="en-AU"/>
              </w:rPr>
              <w:t xml:space="preserve">Poor quality medicine should not be separated from training </w:t>
            </w:r>
            <w:r w:rsidR="291C9A14" w:rsidRPr="00DA3465">
              <w:rPr>
                <w:color w:val="000000" w:themeColor="text1"/>
                <w:lang w:val="en-AU"/>
              </w:rPr>
              <w:t xml:space="preserve">site </w:t>
            </w:r>
            <w:r w:rsidR="13D44121" w:rsidRPr="00DA3465">
              <w:rPr>
                <w:color w:val="000000" w:themeColor="text1"/>
                <w:lang w:val="en-AU"/>
              </w:rPr>
              <w:t xml:space="preserve">accreditation. Quality training requires time, which is currently a premium in public hospitals and more so in the private sector where training (in specialist practice outside general practice) is not </w:t>
            </w:r>
            <w:r w:rsidR="13D44121" w:rsidRPr="00DA3465">
              <w:rPr>
                <w:color w:val="000000" w:themeColor="text1"/>
                <w:lang w:val="en-AU"/>
              </w:rPr>
              <w:lastRenderedPageBreak/>
              <w:t xml:space="preserve">remunerated. </w:t>
            </w:r>
            <w:r w:rsidR="7F3375CA" w:rsidRPr="00DA3465">
              <w:rPr>
                <w:color w:val="000000" w:themeColor="text1"/>
                <w:lang w:val="en-AU"/>
              </w:rPr>
              <w:t>We</w:t>
            </w:r>
            <w:r w:rsidR="13D44121" w:rsidRPr="00DA3465">
              <w:rPr>
                <w:color w:val="000000" w:themeColor="text1"/>
                <w:lang w:val="en-AU"/>
              </w:rPr>
              <w:t xml:space="preserve"> would also suggest that “supervisor” is the training provider’s surrogate for ensuring patient safety and quality of care. Supervisors don’t only answer to the colleges but also to the training providers to ensure trainees are appropriately supervised clinically and patients are not put in harm’s way by trainees who have yet to acquire the relevant experience and competence. </w:t>
            </w:r>
            <w:r w:rsidR="7468FD47" w:rsidRPr="00DA3465">
              <w:rPr>
                <w:color w:val="000000" w:themeColor="text1"/>
                <w:lang w:val="en-AU"/>
              </w:rPr>
              <w:t xml:space="preserve">It should also be noted that “supervisors” are voluntary roles and something the trainee relies on as part of their own training to receive the supervision, </w:t>
            </w:r>
            <w:r w:rsidR="35287072" w:rsidRPr="00DA3465">
              <w:rPr>
                <w:color w:val="000000" w:themeColor="text1"/>
                <w:lang w:val="en-AU"/>
              </w:rPr>
              <w:t>mentoring</w:t>
            </w:r>
            <w:r w:rsidR="7468FD47" w:rsidRPr="00DA3465">
              <w:rPr>
                <w:color w:val="000000" w:themeColor="text1"/>
                <w:lang w:val="en-AU"/>
              </w:rPr>
              <w:t xml:space="preserve"> and guidance required as part of t</w:t>
            </w:r>
            <w:r w:rsidR="0E578D59" w:rsidRPr="00DA3465">
              <w:rPr>
                <w:color w:val="000000" w:themeColor="text1"/>
                <w:lang w:val="en-AU"/>
              </w:rPr>
              <w:t>heir training program.</w:t>
            </w:r>
          </w:p>
        </w:tc>
      </w:tr>
      <w:tr w:rsidR="00660ABF" w:rsidRPr="00495C2B" w14:paraId="0A5FFA8B" w14:textId="77777777" w:rsidTr="6AA2306C">
        <w:trPr>
          <w:trHeight w:val="841"/>
        </w:trPr>
        <w:tc>
          <w:tcPr>
            <w:tcW w:w="9634" w:type="dxa"/>
            <w:shd w:val="clear" w:color="auto" w:fill="D7EEF2" w:themeFill="accent3" w:themeFillTint="33"/>
            <w:vAlign w:val="center"/>
          </w:tcPr>
          <w:p w14:paraId="039F5DED" w14:textId="77777777" w:rsidR="0021163C" w:rsidRPr="00495C2B" w:rsidRDefault="0038642B" w:rsidP="008D0C55">
            <w:pPr>
              <w:spacing w:before="120" w:after="120"/>
              <w:jc w:val="both"/>
              <w:rPr>
                <w:rFonts w:ascii="Calibri" w:hAnsi="Calibri" w:cs="Calibri"/>
                <w:lang w:val="en-AU"/>
              </w:rPr>
            </w:pPr>
            <w:r w:rsidRPr="00495C2B">
              <w:rPr>
                <w:rFonts w:ascii="Calibri" w:hAnsi="Calibri" w:cs="Calibri"/>
                <w:lang w:val="en-AU"/>
              </w:rPr>
              <w:lastRenderedPageBreak/>
              <w:t xml:space="preserve">Are there any criteria in the model standards that would raise challenges for your organisation? </w:t>
            </w:r>
          </w:p>
          <w:p w14:paraId="4E7EB7F6" w14:textId="1DB555F9" w:rsidR="00F41333" w:rsidRPr="00495C2B" w:rsidRDefault="0038642B" w:rsidP="00D8079B">
            <w:pPr>
              <w:spacing w:before="120" w:after="120"/>
              <w:rPr>
                <w:rFonts w:ascii="Calibri" w:hAnsi="Calibri" w:cs="Calibri"/>
                <w:lang w:val="en-AU"/>
              </w:rPr>
            </w:pPr>
            <w:r w:rsidRPr="00495C2B">
              <w:rPr>
                <w:rFonts w:ascii="Calibri" w:hAnsi="Calibri" w:cs="Calibri"/>
                <w:b/>
                <w:bCs/>
                <w:lang w:val="en-AU"/>
              </w:rPr>
              <w:t>For colleges</w:t>
            </w:r>
            <w:r w:rsidR="00254444" w:rsidRPr="00495C2B">
              <w:rPr>
                <w:rFonts w:ascii="Calibri" w:hAnsi="Calibri" w:cs="Calibri"/>
                <w:b/>
                <w:bCs/>
                <w:lang w:val="en-AU"/>
              </w:rPr>
              <w:t>:</w:t>
            </w:r>
            <w:r w:rsidRPr="00495C2B">
              <w:rPr>
                <w:rFonts w:ascii="Calibri" w:hAnsi="Calibri" w:cs="Calibri"/>
                <w:lang w:val="en-AU"/>
              </w:rPr>
              <w:t xml:space="preserve"> this would include any challenges in implementing the model standards.</w:t>
            </w:r>
          </w:p>
          <w:p w14:paraId="158E2CF9" w14:textId="774754E8" w:rsidR="00660ABF" w:rsidRPr="00495C2B" w:rsidRDefault="0038642B" w:rsidP="00D8079B">
            <w:pPr>
              <w:spacing w:before="120" w:after="120"/>
              <w:rPr>
                <w:lang w:val="en-AU"/>
              </w:rPr>
            </w:pPr>
            <w:r w:rsidRPr="00495C2B">
              <w:rPr>
                <w:rFonts w:ascii="Calibri" w:hAnsi="Calibri" w:cs="Calibri"/>
                <w:b/>
                <w:bCs/>
                <w:lang w:val="en-AU"/>
              </w:rPr>
              <w:t>For health services</w:t>
            </w:r>
            <w:r w:rsidR="00254444" w:rsidRPr="00495C2B">
              <w:rPr>
                <w:rFonts w:ascii="Calibri" w:hAnsi="Calibri" w:cs="Calibri"/>
                <w:b/>
                <w:bCs/>
                <w:lang w:val="en-AU"/>
              </w:rPr>
              <w:t>:</w:t>
            </w:r>
            <w:r w:rsidRPr="00495C2B">
              <w:rPr>
                <w:rFonts w:ascii="Calibri" w:hAnsi="Calibri" w:cs="Calibri"/>
                <w:lang w:val="en-AU"/>
              </w:rPr>
              <w:t xml:space="preserve"> this would include any challenges in being assessed against the model standards, </w:t>
            </w:r>
            <w:r w:rsidR="006250F0" w:rsidRPr="00495C2B">
              <w:rPr>
                <w:rFonts w:ascii="Calibri" w:hAnsi="Calibri" w:cs="Calibri"/>
                <w:lang w:val="en-AU"/>
              </w:rPr>
              <w:t>for example</w:t>
            </w:r>
            <w:r w:rsidRPr="00495C2B">
              <w:rPr>
                <w:rFonts w:ascii="Calibri" w:hAnsi="Calibri" w:cs="Calibri"/>
                <w:lang w:val="en-AU"/>
              </w:rPr>
              <w:t>, in smaller settings, rural and regional settings, general practice and non-government settings.</w:t>
            </w:r>
          </w:p>
        </w:tc>
      </w:tr>
      <w:tr w:rsidR="00660ABF" w:rsidRPr="00495C2B" w14:paraId="75AB2A65" w14:textId="77777777" w:rsidTr="6AA2306C">
        <w:trPr>
          <w:trHeight w:val="132"/>
        </w:trPr>
        <w:tc>
          <w:tcPr>
            <w:tcW w:w="9634" w:type="dxa"/>
            <w:shd w:val="clear" w:color="auto" w:fill="auto"/>
            <w:vAlign w:val="center"/>
          </w:tcPr>
          <w:p w14:paraId="572A1CB8" w14:textId="3452AE45" w:rsidR="0029376D" w:rsidRDefault="0029376D" w:rsidP="00E6089F">
            <w:pPr>
              <w:spacing w:before="120" w:after="120"/>
              <w:rPr>
                <w:lang w:val="en-AU"/>
              </w:rPr>
            </w:pPr>
            <w:r w:rsidRPr="00495C2B">
              <w:rPr>
                <w:lang w:val="en-AU"/>
              </w:rPr>
              <w:t>ANZCA already does most</w:t>
            </w:r>
            <w:r w:rsidR="006A03CB" w:rsidRPr="00495C2B">
              <w:rPr>
                <w:lang w:val="en-AU"/>
              </w:rPr>
              <w:t xml:space="preserve">, if not </w:t>
            </w:r>
            <w:proofErr w:type="gramStart"/>
            <w:r w:rsidRPr="00495C2B">
              <w:rPr>
                <w:lang w:val="en-AU"/>
              </w:rPr>
              <w:t>all of</w:t>
            </w:r>
            <w:proofErr w:type="gramEnd"/>
            <w:r w:rsidRPr="00495C2B">
              <w:rPr>
                <w:lang w:val="en-AU"/>
              </w:rPr>
              <w:t xml:space="preserve"> this</w:t>
            </w:r>
            <w:r w:rsidR="006A03CB" w:rsidRPr="00495C2B">
              <w:rPr>
                <w:lang w:val="en-AU"/>
              </w:rPr>
              <w:t xml:space="preserve"> so there shouldn’t be notable challenges</w:t>
            </w:r>
            <w:r w:rsidR="00D0094B" w:rsidRPr="00495C2B">
              <w:rPr>
                <w:lang w:val="en-AU"/>
              </w:rPr>
              <w:t xml:space="preserve"> with implementation</w:t>
            </w:r>
            <w:r w:rsidR="0013599A">
              <w:rPr>
                <w:lang w:val="en-AU"/>
              </w:rPr>
              <w:t>, noting the below</w:t>
            </w:r>
            <w:r w:rsidRPr="00495C2B">
              <w:rPr>
                <w:lang w:val="en-AU"/>
              </w:rPr>
              <w:t>.</w:t>
            </w:r>
          </w:p>
          <w:p w14:paraId="71EE7A0A" w14:textId="64CCC03A" w:rsidR="006F46D6" w:rsidRPr="006F46D6" w:rsidRDefault="006F46D6" w:rsidP="00E6089F">
            <w:pPr>
              <w:spacing w:before="120" w:after="120"/>
              <w:rPr>
                <w:b/>
                <w:bCs/>
                <w:lang w:val="en-AU"/>
              </w:rPr>
            </w:pPr>
            <w:r w:rsidRPr="006F46D6">
              <w:rPr>
                <w:b/>
                <w:bCs/>
                <w:lang w:val="en-AU"/>
              </w:rPr>
              <w:t>Domain 1 (Trainee health and welfare)</w:t>
            </w:r>
          </w:p>
          <w:p w14:paraId="5C932B3D" w14:textId="77777777" w:rsidR="00520108" w:rsidRDefault="00E6089F" w:rsidP="00E6089F">
            <w:pPr>
              <w:spacing w:before="120" w:after="120"/>
              <w:rPr>
                <w:lang w:val="en-AU"/>
              </w:rPr>
            </w:pPr>
            <w:r>
              <w:rPr>
                <w:lang w:val="en-AU"/>
              </w:rPr>
              <w:t>This may be</w:t>
            </w:r>
            <w:r w:rsidR="006F46D6" w:rsidRPr="00495C2B">
              <w:rPr>
                <w:lang w:val="en-AU"/>
              </w:rPr>
              <w:t xml:space="preserve"> problematic that this is based on identifying bad practice, with a lot of examples of what </w:t>
            </w:r>
            <w:r w:rsidR="00BC041F">
              <w:rPr>
                <w:lang w:val="en-AU"/>
              </w:rPr>
              <w:t xml:space="preserve">it includes </w:t>
            </w:r>
            <w:r w:rsidR="006F46D6" w:rsidRPr="00495C2B">
              <w:rPr>
                <w:lang w:val="en-AU"/>
              </w:rPr>
              <w:t xml:space="preserve">and what to do about it, implying that diversity, equity, inclusion and cultural safety can be achieved if those bad things don’t happen. </w:t>
            </w:r>
          </w:p>
          <w:p w14:paraId="4D654B90" w14:textId="722DBDAE" w:rsidR="00C45B98" w:rsidRPr="00717ADD" w:rsidRDefault="00C45B98" w:rsidP="00C45B98">
            <w:pPr>
              <w:spacing w:before="120" w:after="120"/>
              <w:rPr>
                <w:b/>
                <w:bCs/>
                <w:lang w:val="en-AU"/>
              </w:rPr>
            </w:pPr>
            <w:r w:rsidRPr="00717ADD">
              <w:rPr>
                <w:b/>
                <w:bCs/>
                <w:lang w:val="en-AU"/>
              </w:rPr>
              <w:t xml:space="preserve">1.1.6 (Trainees can access leave arrangements) and 1.1.7 </w:t>
            </w:r>
            <w:r w:rsidRPr="00717ADD">
              <w:rPr>
                <w:b/>
                <w:bCs/>
                <w:color w:val="000000" w:themeColor="text1"/>
                <w:lang w:val="en-AU"/>
              </w:rPr>
              <w:t>(Trainees can access flexible working arrangements)</w:t>
            </w:r>
          </w:p>
          <w:p w14:paraId="3499B48C" w14:textId="73353951" w:rsidR="00C45B98" w:rsidRDefault="00C45B98" w:rsidP="00C45B98">
            <w:pPr>
              <w:spacing w:before="120" w:after="120"/>
              <w:rPr>
                <w:lang w:val="en-AU"/>
              </w:rPr>
            </w:pPr>
            <w:r w:rsidRPr="380A6D6B">
              <w:rPr>
                <w:lang w:val="en-AU"/>
              </w:rPr>
              <w:t xml:space="preserve">This doesn’t give much guidance to </w:t>
            </w:r>
            <w:r w:rsidR="0091581C" w:rsidRPr="380A6D6B">
              <w:rPr>
                <w:lang w:val="en-AU"/>
              </w:rPr>
              <w:t>c</w:t>
            </w:r>
            <w:r w:rsidRPr="380A6D6B">
              <w:rPr>
                <w:lang w:val="en-AU"/>
              </w:rPr>
              <w:t xml:space="preserve">olleges as they don’t have a mechanism to manage employment issues. Is the only option to threaten to withdraw accreditation? </w:t>
            </w:r>
            <w:r w:rsidR="00717ADD" w:rsidRPr="380A6D6B">
              <w:rPr>
                <w:lang w:val="en-AU"/>
              </w:rPr>
              <w:t>Unsure</w:t>
            </w:r>
            <w:r w:rsidRPr="380A6D6B">
              <w:rPr>
                <w:lang w:val="en-AU"/>
              </w:rPr>
              <w:t xml:space="preserve"> that problems at sites with race, religion, </w:t>
            </w:r>
            <w:r w:rsidR="3C5D98E6" w:rsidRPr="380A6D6B">
              <w:rPr>
                <w:lang w:val="en-AU"/>
              </w:rPr>
              <w:t>bullying</w:t>
            </w:r>
            <w:r w:rsidR="00A1310F">
              <w:rPr>
                <w:lang w:val="en-AU"/>
              </w:rPr>
              <w:t>,</w:t>
            </w:r>
            <w:r w:rsidR="3C5D98E6" w:rsidRPr="380A6D6B">
              <w:rPr>
                <w:lang w:val="en-AU"/>
              </w:rPr>
              <w:t xml:space="preserve"> harassment and </w:t>
            </w:r>
            <w:r w:rsidRPr="380A6D6B">
              <w:rPr>
                <w:lang w:val="en-AU"/>
              </w:rPr>
              <w:t>sexual orientation etc may be managed by moving the trainee – making the trainee the problem</w:t>
            </w:r>
            <w:r w:rsidR="2A4A07B6" w:rsidRPr="380A6D6B">
              <w:rPr>
                <w:lang w:val="en-AU"/>
              </w:rPr>
              <w:t xml:space="preserve"> and the training site failing to address often systemic issues</w:t>
            </w:r>
            <w:r w:rsidRPr="380A6D6B">
              <w:rPr>
                <w:lang w:val="en-AU"/>
              </w:rPr>
              <w:t xml:space="preserve">. </w:t>
            </w:r>
          </w:p>
          <w:p w14:paraId="1F1B4ECF" w14:textId="086C0EF0" w:rsidR="00460CAB" w:rsidRPr="00495C2B" w:rsidRDefault="00AD1853" w:rsidP="00EA1303">
            <w:pPr>
              <w:spacing w:before="120" w:after="120"/>
              <w:rPr>
                <w:lang w:val="en-AU"/>
              </w:rPr>
            </w:pPr>
            <w:r w:rsidRPr="00495C2B">
              <w:rPr>
                <w:lang w:val="en-AU"/>
              </w:rPr>
              <w:t xml:space="preserve">1.1.7 may be hard to achieve in most places especially for those with only one trainee.  </w:t>
            </w:r>
          </w:p>
        </w:tc>
      </w:tr>
      <w:tr w:rsidR="0021163C" w:rsidRPr="00495C2B" w14:paraId="0CE8D230" w14:textId="77777777" w:rsidTr="6AA2306C">
        <w:trPr>
          <w:trHeight w:val="841"/>
        </w:trPr>
        <w:tc>
          <w:tcPr>
            <w:tcW w:w="9634" w:type="dxa"/>
            <w:shd w:val="clear" w:color="auto" w:fill="D7EEF2" w:themeFill="accent3" w:themeFillTint="33"/>
            <w:vAlign w:val="center"/>
          </w:tcPr>
          <w:p w14:paraId="67CF0B13" w14:textId="0AAB81FC" w:rsidR="0021163C" w:rsidRPr="00495C2B" w:rsidRDefault="00C26D48" w:rsidP="00057AEA">
            <w:pPr>
              <w:spacing w:before="120" w:after="120"/>
              <w:jc w:val="both"/>
              <w:rPr>
                <w:rFonts w:cstheme="minorHAnsi"/>
                <w:lang w:val="en-AU"/>
              </w:rPr>
            </w:pPr>
            <w:r w:rsidRPr="00495C2B">
              <w:rPr>
                <w:rFonts w:ascii="Calibri" w:hAnsi="Calibri" w:cs="Calibri"/>
                <w:lang w:val="en-AU"/>
              </w:rPr>
              <w:t>Should there be any additions to, or deletions from, the model standards</w:t>
            </w:r>
            <w:r w:rsidR="00A646B1" w:rsidRPr="00495C2B">
              <w:rPr>
                <w:rFonts w:ascii="Calibri" w:hAnsi="Calibri" w:cs="Calibri"/>
                <w:lang w:val="en-AU"/>
              </w:rPr>
              <w:t>?</w:t>
            </w:r>
          </w:p>
        </w:tc>
      </w:tr>
      <w:tr w:rsidR="0021163C" w:rsidRPr="00495C2B" w14:paraId="1B9C7BB7" w14:textId="77777777" w:rsidTr="6AA2306C">
        <w:trPr>
          <w:trHeight w:val="60"/>
        </w:trPr>
        <w:tc>
          <w:tcPr>
            <w:tcW w:w="9634" w:type="dxa"/>
            <w:shd w:val="clear" w:color="auto" w:fill="auto"/>
            <w:vAlign w:val="center"/>
          </w:tcPr>
          <w:p w14:paraId="02F5CC20" w14:textId="67BAFDED" w:rsidR="00062D34" w:rsidRPr="00495C2B" w:rsidRDefault="00062D34" w:rsidP="00062D34">
            <w:pPr>
              <w:spacing w:before="120" w:after="120"/>
              <w:rPr>
                <w:b/>
                <w:bCs/>
                <w:lang w:val="en-AU"/>
              </w:rPr>
            </w:pPr>
            <w:r w:rsidRPr="00495C2B">
              <w:rPr>
                <w:b/>
                <w:bCs/>
                <w:lang w:val="en-AU"/>
              </w:rPr>
              <w:t>1.1.1 (Effective processes are implemented for trainees to raise concerns, grievances and complaints) and 1.1.2 (</w:t>
            </w:r>
            <w:r w:rsidR="00DB3267" w:rsidRPr="00495C2B">
              <w:rPr>
                <w:b/>
                <w:bCs/>
                <w:lang w:val="en-AU"/>
              </w:rPr>
              <w:t>R</w:t>
            </w:r>
            <w:r w:rsidRPr="00495C2B">
              <w:rPr>
                <w:b/>
                <w:bCs/>
                <w:lang w:val="en-AU"/>
              </w:rPr>
              <w:t xml:space="preserve">isks to trainees regarding bullying, harassment, discrimination, racism) </w:t>
            </w:r>
          </w:p>
          <w:p w14:paraId="67C4876A" w14:textId="77777777" w:rsidR="00062D34" w:rsidRDefault="00062D34" w:rsidP="00062D34">
            <w:pPr>
              <w:spacing w:before="120" w:after="120"/>
              <w:rPr>
                <w:highlight w:val="yellow"/>
                <w:lang w:val="en-AU"/>
              </w:rPr>
            </w:pPr>
            <w:r w:rsidRPr="00495C2B">
              <w:rPr>
                <w:lang w:val="en-AU"/>
              </w:rPr>
              <w:t>For colleges, there needs to be a clearly identified body to specifically address issues such as trainee bullying or harassment. A formalised approach to 1.1.2 should be developed, with a confidential way trainees can inform the college of issues pertaining to 1.1.1.</w:t>
            </w:r>
            <w:r w:rsidRPr="00495C2B">
              <w:rPr>
                <w:highlight w:val="yellow"/>
                <w:lang w:val="en-AU"/>
              </w:rPr>
              <w:t xml:space="preserve"> </w:t>
            </w:r>
          </w:p>
          <w:p w14:paraId="2DACFA01" w14:textId="77777777" w:rsidR="00581C20" w:rsidRPr="00AD37AF" w:rsidRDefault="00581C20" w:rsidP="00581C20">
            <w:pPr>
              <w:spacing w:before="120" w:after="120"/>
              <w:rPr>
                <w:b/>
                <w:bCs/>
                <w:lang w:val="en-AU"/>
              </w:rPr>
            </w:pPr>
            <w:r w:rsidRPr="00AD37AF">
              <w:rPr>
                <w:b/>
                <w:bCs/>
                <w:lang w:val="en-AU"/>
              </w:rPr>
              <w:t>1.1.3 (Positive learning environment)</w:t>
            </w:r>
          </w:p>
          <w:p w14:paraId="5FFFB757" w14:textId="77777777" w:rsidR="00581C20" w:rsidRPr="00495C2B" w:rsidRDefault="00581C20" w:rsidP="00581C20">
            <w:pPr>
              <w:spacing w:before="120" w:after="120"/>
              <w:rPr>
                <w:lang w:val="en-AU"/>
              </w:rPr>
            </w:pPr>
            <w:r>
              <w:rPr>
                <w:lang w:val="en-AU"/>
              </w:rPr>
              <w:t>1.1.3</w:t>
            </w:r>
            <w:r w:rsidRPr="00495C2B">
              <w:rPr>
                <w:lang w:val="en-AU"/>
              </w:rPr>
              <w:t xml:space="preserve"> is very brief. </w:t>
            </w:r>
            <w:r>
              <w:rPr>
                <w:lang w:val="en-AU"/>
              </w:rPr>
              <w:t xml:space="preserve">Perhaps requires </w:t>
            </w:r>
            <w:r w:rsidRPr="00495C2B">
              <w:rPr>
                <w:lang w:val="en-AU"/>
              </w:rPr>
              <w:t xml:space="preserve">a more positive balance of what to aspire to as well as what to stamp out. </w:t>
            </w:r>
            <w:r>
              <w:rPr>
                <w:lang w:val="en-AU"/>
              </w:rPr>
              <w:t>T</w:t>
            </w:r>
            <w:r w:rsidRPr="00495C2B">
              <w:rPr>
                <w:lang w:val="en-AU"/>
              </w:rPr>
              <w:t xml:space="preserve">he word equity </w:t>
            </w:r>
            <w:r>
              <w:rPr>
                <w:lang w:val="en-AU"/>
              </w:rPr>
              <w:t xml:space="preserve">should be </w:t>
            </w:r>
            <w:r w:rsidRPr="00495C2B">
              <w:rPr>
                <w:lang w:val="en-AU"/>
              </w:rPr>
              <w:t>mentioned in 1.1.3</w:t>
            </w:r>
            <w:r>
              <w:rPr>
                <w:lang w:val="en-AU"/>
              </w:rPr>
              <w:t>, i</w:t>
            </w:r>
            <w:r w:rsidRPr="00495C2B">
              <w:rPr>
                <w:lang w:val="en-AU"/>
              </w:rPr>
              <w:t>t is different to diversity, inclusivity and cultural competence/safety.</w:t>
            </w:r>
          </w:p>
          <w:p w14:paraId="16ADB2B8" w14:textId="1F1A2CA1" w:rsidR="00DB3267" w:rsidRPr="00495C2B" w:rsidRDefault="00DB3267" w:rsidP="00DB3267">
            <w:pPr>
              <w:spacing w:before="120"/>
              <w:rPr>
                <w:b/>
                <w:bCs/>
                <w:highlight w:val="yellow"/>
                <w:lang w:val="en-AU"/>
              </w:rPr>
            </w:pPr>
            <w:r w:rsidRPr="00495C2B">
              <w:rPr>
                <w:b/>
                <w:bCs/>
                <w:lang w:val="en-AU"/>
              </w:rPr>
              <w:t>2.1.4 (Trainees provided with effective orientation)</w:t>
            </w:r>
          </w:p>
          <w:p w14:paraId="676962FF" w14:textId="3BBF1E7C" w:rsidR="00062D34" w:rsidRPr="00495C2B" w:rsidRDefault="00062D34" w:rsidP="00062D34">
            <w:pPr>
              <w:spacing w:before="120" w:after="120"/>
              <w:rPr>
                <w:lang w:val="en-AU"/>
              </w:rPr>
            </w:pPr>
            <w:r w:rsidRPr="00495C2B">
              <w:rPr>
                <w:lang w:val="en-AU"/>
              </w:rPr>
              <w:t xml:space="preserve">In terms of ‘effective orientation’ in 2.1.4 - how is this being assessed? </w:t>
            </w:r>
          </w:p>
          <w:p w14:paraId="35FF2959" w14:textId="56FA6D51" w:rsidR="00F422F4" w:rsidRPr="00495C2B" w:rsidRDefault="00F422F4" w:rsidP="00F41B02">
            <w:pPr>
              <w:spacing w:before="120" w:after="120"/>
              <w:rPr>
                <w:lang w:val="en-AU"/>
              </w:rPr>
            </w:pPr>
            <w:r w:rsidRPr="00495C2B">
              <w:rPr>
                <w:lang w:val="en-AU"/>
              </w:rPr>
              <w:t xml:space="preserve">It seems reasonable to include some specifics around what ‘support’ for returning to work after leave looks like. </w:t>
            </w:r>
            <w:r w:rsidR="00F41B02" w:rsidRPr="00495C2B">
              <w:rPr>
                <w:lang w:val="en-AU"/>
              </w:rPr>
              <w:t>‘K</w:t>
            </w:r>
            <w:r w:rsidRPr="00495C2B">
              <w:rPr>
                <w:lang w:val="en-AU"/>
              </w:rPr>
              <w:t>eep in touch</w:t>
            </w:r>
            <w:r w:rsidR="00F41B02" w:rsidRPr="00495C2B">
              <w:rPr>
                <w:lang w:val="en-AU"/>
              </w:rPr>
              <w:t>’</w:t>
            </w:r>
            <w:r w:rsidRPr="00495C2B">
              <w:rPr>
                <w:lang w:val="en-AU"/>
              </w:rPr>
              <w:t xml:space="preserve"> days are now available in every state</w:t>
            </w:r>
            <w:r w:rsidR="000D08AE" w:rsidRPr="00495C2B">
              <w:rPr>
                <w:lang w:val="en-AU"/>
              </w:rPr>
              <w:t>/territory</w:t>
            </w:r>
            <w:r w:rsidRPr="00495C2B">
              <w:rPr>
                <w:lang w:val="en-AU"/>
              </w:rPr>
              <w:t xml:space="preserve"> in Australia, and in Aotearoa NZ. It seems reasonable that each service should have a guideline on how to support staff returning after leave, even if a small service including support to attend programs if the service doesn’t offer their own.</w:t>
            </w:r>
          </w:p>
          <w:p w14:paraId="7A10BEE0" w14:textId="6FBAC601" w:rsidR="00E001D5" w:rsidRPr="00495C2B" w:rsidRDefault="00E001D5" w:rsidP="00F41B02">
            <w:pPr>
              <w:spacing w:before="120" w:after="120"/>
              <w:rPr>
                <w:b/>
                <w:bCs/>
                <w:lang w:val="en-AU"/>
              </w:rPr>
            </w:pPr>
            <w:r w:rsidRPr="00495C2B">
              <w:rPr>
                <w:b/>
                <w:bCs/>
                <w:lang w:val="en-AU"/>
              </w:rPr>
              <w:t>I</w:t>
            </w:r>
            <w:r w:rsidR="00D80EB9" w:rsidRPr="00495C2B">
              <w:rPr>
                <w:b/>
                <w:bCs/>
                <w:lang w:val="en-AU"/>
              </w:rPr>
              <w:t>nformation technology (I</w:t>
            </w:r>
            <w:r w:rsidRPr="00495C2B">
              <w:rPr>
                <w:b/>
                <w:bCs/>
                <w:lang w:val="en-AU"/>
              </w:rPr>
              <w:t>T</w:t>
            </w:r>
            <w:r w:rsidR="00D80EB9" w:rsidRPr="00495C2B">
              <w:rPr>
                <w:b/>
                <w:bCs/>
                <w:lang w:val="en-AU"/>
              </w:rPr>
              <w:t>)</w:t>
            </w:r>
            <w:r w:rsidRPr="00495C2B">
              <w:rPr>
                <w:b/>
                <w:bCs/>
                <w:lang w:val="en-AU"/>
              </w:rPr>
              <w:t xml:space="preserve"> and</w:t>
            </w:r>
            <w:r w:rsidR="00D80EB9" w:rsidRPr="00495C2B">
              <w:rPr>
                <w:b/>
                <w:bCs/>
                <w:lang w:val="en-AU"/>
              </w:rPr>
              <w:t xml:space="preserve"> identification (</w:t>
            </w:r>
            <w:r w:rsidRPr="00495C2B">
              <w:rPr>
                <w:b/>
                <w:bCs/>
                <w:lang w:val="en-AU"/>
              </w:rPr>
              <w:t>ID</w:t>
            </w:r>
            <w:r w:rsidR="00D80EB9" w:rsidRPr="00495C2B">
              <w:rPr>
                <w:b/>
                <w:bCs/>
                <w:lang w:val="en-AU"/>
              </w:rPr>
              <w:t>)</w:t>
            </w:r>
            <w:r w:rsidRPr="00495C2B">
              <w:rPr>
                <w:b/>
                <w:bCs/>
                <w:lang w:val="en-AU"/>
              </w:rPr>
              <w:t xml:space="preserve"> requirements to all trainees</w:t>
            </w:r>
          </w:p>
          <w:p w14:paraId="59C146D8" w14:textId="77777777" w:rsidR="0021163C" w:rsidRPr="00495C2B" w:rsidRDefault="00F422F4" w:rsidP="00F41B02">
            <w:pPr>
              <w:spacing w:before="120" w:after="120"/>
              <w:rPr>
                <w:lang w:val="en-AU"/>
              </w:rPr>
            </w:pPr>
            <w:r w:rsidRPr="00495C2B">
              <w:rPr>
                <w:lang w:val="en-AU"/>
              </w:rPr>
              <w:lastRenderedPageBreak/>
              <w:t>A process to provide IT and ID requirements to all trainees (at a time when they are not otherwise rostered to clinical work) doesn’t seem to be in the document. Under Domain 4, there is no mention of paid training time not being requisitioned for clinical work.</w:t>
            </w:r>
          </w:p>
          <w:p w14:paraId="31ECE9F3" w14:textId="37040E95" w:rsidR="00897BC3" w:rsidRPr="00495C2B" w:rsidRDefault="0099107F" w:rsidP="009C745C">
            <w:pPr>
              <w:keepNext/>
              <w:spacing w:before="120" w:after="120"/>
              <w:jc w:val="both"/>
              <w:rPr>
                <w:b/>
                <w:bCs/>
                <w:lang w:val="en-AU"/>
              </w:rPr>
            </w:pPr>
            <w:r w:rsidRPr="00495C2B">
              <w:rPr>
                <w:b/>
                <w:bCs/>
                <w:lang w:val="en-AU"/>
              </w:rPr>
              <w:t>Domains</w:t>
            </w:r>
          </w:p>
          <w:p w14:paraId="314923FC" w14:textId="67B62F84" w:rsidR="00897BC3" w:rsidRPr="00495C2B" w:rsidRDefault="0099107F" w:rsidP="00D95463">
            <w:pPr>
              <w:spacing w:before="120"/>
              <w:rPr>
                <w:lang w:val="en-AU"/>
              </w:rPr>
            </w:pPr>
            <w:r w:rsidRPr="00495C2B">
              <w:rPr>
                <w:lang w:val="en-AU"/>
              </w:rPr>
              <w:t>D</w:t>
            </w:r>
            <w:r w:rsidR="00897BC3" w:rsidRPr="00495C2B">
              <w:rPr>
                <w:lang w:val="en-AU"/>
              </w:rPr>
              <w:t>omain</w:t>
            </w:r>
            <w:r w:rsidRPr="00495C2B">
              <w:rPr>
                <w:lang w:val="en-AU"/>
              </w:rPr>
              <w:t xml:space="preserve"> 1</w:t>
            </w:r>
            <w:r w:rsidR="00897BC3" w:rsidRPr="00495C2B">
              <w:rPr>
                <w:lang w:val="en-AU"/>
              </w:rPr>
              <w:t xml:space="preserve"> </w:t>
            </w:r>
            <w:r w:rsidRPr="00495C2B">
              <w:rPr>
                <w:lang w:val="en-AU"/>
              </w:rPr>
              <w:t>(T</w:t>
            </w:r>
            <w:r w:rsidR="00897BC3" w:rsidRPr="00495C2B">
              <w:rPr>
                <w:lang w:val="en-AU"/>
              </w:rPr>
              <w:t>rainee health and welfare</w:t>
            </w:r>
            <w:r w:rsidRPr="00495C2B">
              <w:rPr>
                <w:lang w:val="en-AU"/>
              </w:rPr>
              <w:t>)</w:t>
            </w:r>
            <w:r w:rsidR="00713F87" w:rsidRPr="00495C2B">
              <w:rPr>
                <w:lang w:val="en-AU"/>
              </w:rPr>
              <w:t>,</w:t>
            </w:r>
            <w:r w:rsidR="00897BC3" w:rsidRPr="00495C2B">
              <w:rPr>
                <w:lang w:val="en-AU"/>
              </w:rPr>
              <w:t xml:space="preserve"> like clinical quality is important and should be part of the accreditation process but is not part of a training program and should be treated separately.</w:t>
            </w:r>
          </w:p>
          <w:p w14:paraId="6B647D02" w14:textId="77777777" w:rsidR="00D92A21" w:rsidRDefault="00897BC3" w:rsidP="000B41EA">
            <w:pPr>
              <w:spacing w:before="120"/>
              <w:rPr>
                <w:lang w:val="en-AU"/>
              </w:rPr>
            </w:pPr>
            <w:r w:rsidRPr="00495C2B">
              <w:rPr>
                <w:lang w:val="en-AU"/>
              </w:rPr>
              <w:t xml:space="preserve">Domains 2/3/4 are </w:t>
            </w:r>
            <w:r w:rsidR="00713F87" w:rsidRPr="00495C2B">
              <w:rPr>
                <w:lang w:val="en-AU"/>
              </w:rPr>
              <w:t>adequate,</w:t>
            </w:r>
            <w:r w:rsidRPr="00495C2B">
              <w:rPr>
                <w:lang w:val="en-AU"/>
              </w:rPr>
              <w:t xml:space="preserve"> </w:t>
            </w:r>
            <w:r w:rsidR="00713F87" w:rsidRPr="00495C2B">
              <w:rPr>
                <w:lang w:val="en-AU"/>
              </w:rPr>
              <w:t>however</w:t>
            </w:r>
            <w:r w:rsidRPr="00495C2B">
              <w:rPr>
                <w:lang w:val="en-AU"/>
              </w:rPr>
              <w:t xml:space="preserve"> would add a 5th </w:t>
            </w:r>
            <w:r w:rsidR="00713F87" w:rsidRPr="00495C2B">
              <w:rPr>
                <w:lang w:val="en-AU"/>
              </w:rPr>
              <w:t>domain on</w:t>
            </w:r>
            <w:r w:rsidRPr="00495C2B">
              <w:rPr>
                <w:lang w:val="en-AU"/>
              </w:rPr>
              <w:t xml:space="preserve"> clinical assessment processes. </w:t>
            </w:r>
          </w:p>
          <w:p w14:paraId="29B94875" w14:textId="3CE843DE" w:rsidR="00C63FA2" w:rsidRPr="00C63FA2" w:rsidRDefault="00C63FA2" w:rsidP="000B41EA">
            <w:pPr>
              <w:spacing w:before="120"/>
              <w:rPr>
                <w:b/>
                <w:bCs/>
                <w:lang w:val="en-AU"/>
              </w:rPr>
            </w:pPr>
            <w:r w:rsidRPr="00C63FA2">
              <w:rPr>
                <w:b/>
                <w:bCs/>
                <w:lang w:val="en-AU"/>
              </w:rPr>
              <w:t>Heath service measurable criteria</w:t>
            </w:r>
          </w:p>
          <w:p w14:paraId="5AD43FB2" w14:textId="5336C33D" w:rsidR="00C63FA2" w:rsidRPr="00495C2B" w:rsidRDefault="02B509A2" w:rsidP="00C63FA2">
            <w:pPr>
              <w:spacing w:before="120" w:after="120"/>
              <w:rPr>
                <w:lang w:val="en-AU"/>
              </w:rPr>
            </w:pPr>
            <w:r w:rsidRPr="380A6D6B">
              <w:rPr>
                <w:lang w:val="en-AU"/>
              </w:rPr>
              <w:t>It is important to develop measurable criteria and have strateg</w:t>
            </w:r>
            <w:r w:rsidR="0B037128" w:rsidRPr="380A6D6B">
              <w:rPr>
                <w:lang w:val="en-AU"/>
              </w:rPr>
              <w:t>ies</w:t>
            </w:r>
            <w:r w:rsidRPr="380A6D6B">
              <w:rPr>
                <w:lang w:val="en-AU"/>
              </w:rPr>
              <w:t xml:space="preserve"> in place to be sure they are implemented in health service. With increase in service demand and workforce shortage, some workplaces forget their role and commitment toward training of doctors in training and many emphasise on their own KPI</w:t>
            </w:r>
            <w:r w:rsidR="194EF435" w:rsidRPr="380A6D6B">
              <w:rPr>
                <w:lang w:val="en-AU"/>
              </w:rPr>
              <w:t>s</w:t>
            </w:r>
            <w:r w:rsidRPr="380A6D6B">
              <w:rPr>
                <w:lang w:val="en-AU"/>
              </w:rPr>
              <w:t>.</w:t>
            </w:r>
          </w:p>
        </w:tc>
      </w:tr>
      <w:tr w:rsidR="00B77A3F" w:rsidRPr="00495C2B" w14:paraId="7F4145A0" w14:textId="77777777" w:rsidTr="6AA2306C">
        <w:tc>
          <w:tcPr>
            <w:tcW w:w="9634" w:type="dxa"/>
            <w:shd w:val="clear" w:color="auto" w:fill="2D7E8E" w:themeFill="accent3" w:themeFillShade="BF"/>
            <w:vAlign w:val="center"/>
          </w:tcPr>
          <w:p w14:paraId="4B57B82C" w14:textId="66279A59" w:rsidR="00B77A3F" w:rsidRPr="00495C2B" w:rsidRDefault="00895D5A" w:rsidP="00057AEA">
            <w:pPr>
              <w:spacing w:before="120" w:after="120"/>
              <w:rPr>
                <w:b/>
                <w:color w:val="F2F2F2" w:themeColor="background1" w:themeShade="F2"/>
                <w:lang w:val="en-AU"/>
              </w:rPr>
            </w:pPr>
            <w:r w:rsidRPr="00495C2B">
              <w:rPr>
                <w:b/>
                <w:color w:val="F2F2F2" w:themeColor="background1" w:themeShade="F2"/>
                <w:lang w:val="en-AU"/>
              </w:rPr>
              <w:lastRenderedPageBreak/>
              <w:t>Feedback</w:t>
            </w:r>
            <w:r w:rsidR="00B77A3F" w:rsidRPr="00495C2B">
              <w:rPr>
                <w:b/>
                <w:color w:val="F2F2F2" w:themeColor="background1" w:themeShade="F2"/>
                <w:lang w:val="en-AU"/>
              </w:rPr>
              <w:t xml:space="preserve"> regarding </w:t>
            </w:r>
            <w:r w:rsidR="00A6374D" w:rsidRPr="00495C2B">
              <w:rPr>
                <w:b/>
                <w:color w:val="F2F2F2" w:themeColor="background1" w:themeShade="F2"/>
                <w:lang w:val="en-AU"/>
              </w:rPr>
              <w:t>college</w:t>
            </w:r>
            <w:r w:rsidR="00BA3343" w:rsidRPr="00495C2B">
              <w:rPr>
                <w:b/>
                <w:color w:val="F2F2F2" w:themeColor="background1" w:themeShade="F2"/>
                <w:lang w:val="en-AU"/>
              </w:rPr>
              <w:t>-</w:t>
            </w:r>
            <w:r w:rsidR="00B77A3F" w:rsidRPr="00495C2B">
              <w:rPr>
                <w:b/>
                <w:color w:val="F2F2F2" w:themeColor="background1" w:themeShade="F2"/>
                <w:lang w:val="en-AU"/>
              </w:rPr>
              <w:t xml:space="preserve">specific </w:t>
            </w:r>
            <w:r w:rsidR="00A6374D" w:rsidRPr="00495C2B">
              <w:rPr>
                <w:b/>
                <w:color w:val="F2F2F2" w:themeColor="background1" w:themeShade="F2"/>
                <w:lang w:val="en-AU"/>
              </w:rPr>
              <w:t xml:space="preserve">requirements </w:t>
            </w:r>
          </w:p>
        </w:tc>
      </w:tr>
      <w:tr w:rsidR="00B77A3F" w:rsidRPr="00495C2B" w14:paraId="079E20D1" w14:textId="77777777" w:rsidTr="6AA2306C">
        <w:trPr>
          <w:trHeight w:val="841"/>
        </w:trPr>
        <w:tc>
          <w:tcPr>
            <w:tcW w:w="9634" w:type="dxa"/>
            <w:shd w:val="clear" w:color="auto" w:fill="D7EEF2" w:themeFill="accent3" w:themeFillTint="33"/>
            <w:vAlign w:val="center"/>
          </w:tcPr>
          <w:p w14:paraId="1E9AFFAD" w14:textId="3143A9EB" w:rsidR="00F02981" w:rsidRPr="00495C2B" w:rsidRDefault="000B2270" w:rsidP="00D8079B">
            <w:pPr>
              <w:spacing w:before="120" w:after="120"/>
              <w:rPr>
                <w:rFonts w:ascii="Calibri" w:hAnsi="Calibri" w:cs="Calibri"/>
                <w:lang w:val="en-AU" w:eastAsia="en-AU"/>
              </w:rPr>
            </w:pPr>
            <w:r w:rsidRPr="00495C2B">
              <w:rPr>
                <w:rFonts w:ascii="Calibri" w:hAnsi="Calibri" w:cs="Calibri"/>
                <w:lang w:val="en-AU" w:eastAsia="en-AU"/>
              </w:rPr>
              <w:t xml:space="preserve">Criterion 2.1.6 </w:t>
            </w:r>
            <w:r w:rsidR="0055198D" w:rsidRPr="00495C2B">
              <w:rPr>
                <w:rFonts w:ascii="Calibri" w:hAnsi="Calibri" w:cs="Calibri"/>
                <w:lang w:val="en-AU" w:eastAsia="en-AU"/>
              </w:rPr>
              <w:t xml:space="preserve">enables recognition of </w:t>
            </w:r>
            <w:r w:rsidRPr="00495C2B">
              <w:rPr>
                <w:rFonts w:ascii="Calibri" w:hAnsi="Calibri" w:cs="Calibri"/>
                <w:lang w:val="en-AU" w:eastAsia="en-AU"/>
              </w:rPr>
              <w:t xml:space="preserve">accreditation </w:t>
            </w:r>
            <w:r w:rsidR="00C938E0" w:rsidRPr="00495C2B">
              <w:rPr>
                <w:rFonts w:ascii="Calibri" w:hAnsi="Calibri" w:cs="Calibri"/>
                <w:lang w:val="en-AU" w:eastAsia="en-AU"/>
              </w:rPr>
              <w:t xml:space="preserve">of training settings/providers </w:t>
            </w:r>
            <w:r w:rsidRPr="00495C2B">
              <w:rPr>
                <w:rFonts w:ascii="Calibri" w:hAnsi="Calibri" w:cs="Calibri"/>
                <w:lang w:val="en-AU" w:eastAsia="en-AU"/>
              </w:rPr>
              <w:t xml:space="preserve">by </w:t>
            </w:r>
            <w:r w:rsidR="0055198D" w:rsidRPr="00495C2B">
              <w:rPr>
                <w:rFonts w:ascii="Calibri" w:hAnsi="Calibri" w:cs="Calibri"/>
                <w:lang w:val="en-AU" w:eastAsia="en-AU"/>
              </w:rPr>
              <w:t xml:space="preserve">other </w:t>
            </w:r>
            <w:r w:rsidRPr="00495C2B">
              <w:rPr>
                <w:rFonts w:ascii="Calibri" w:hAnsi="Calibri" w:cs="Calibri"/>
                <w:lang w:val="en-AU" w:eastAsia="en-AU"/>
              </w:rPr>
              <w:t>accreditation bodies</w:t>
            </w:r>
            <w:r w:rsidR="0055198D" w:rsidRPr="00495C2B">
              <w:rPr>
                <w:rFonts w:ascii="Calibri" w:hAnsi="Calibri" w:cs="Calibri"/>
                <w:lang w:val="en-AU" w:eastAsia="en-AU"/>
              </w:rPr>
              <w:t xml:space="preserve"> e.g. health service quality and safety bodies</w:t>
            </w:r>
            <w:r w:rsidRPr="00495C2B">
              <w:rPr>
                <w:rFonts w:ascii="Calibri" w:hAnsi="Calibri" w:cs="Calibri"/>
                <w:lang w:val="en-AU" w:eastAsia="en-AU"/>
              </w:rPr>
              <w:t xml:space="preserve">. </w:t>
            </w:r>
          </w:p>
          <w:p w14:paraId="32411EE9" w14:textId="0ABE48B2" w:rsidR="000B2270" w:rsidRPr="00495C2B" w:rsidRDefault="00591F8B" w:rsidP="00D8079B">
            <w:pPr>
              <w:spacing w:before="120" w:after="120"/>
              <w:rPr>
                <w:rFonts w:ascii="Calibri" w:hAnsi="Calibri" w:cs="Calibri"/>
                <w:lang w:val="en-AU" w:eastAsia="en-AU"/>
              </w:rPr>
            </w:pPr>
            <w:r w:rsidRPr="00495C2B">
              <w:rPr>
                <w:rFonts w:ascii="Calibri" w:hAnsi="Calibri" w:cs="Calibri"/>
                <w:b/>
                <w:bCs/>
                <w:lang w:val="en-AU" w:eastAsia="en-AU"/>
              </w:rPr>
              <w:t>F</w:t>
            </w:r>
            <w:r w:rsidR="00F02981" w:rsidRPr="00495C2B">
              <w:rPr>
                <w:rFonts w:ascii="Calibri" w:hAnsi="Calibri" w:cs="Calibri"/>
                <w:b/>
                <w:bCs/>
                <w:lang w:val="en-AU" w:eastAsia="en-AU"/>
              </w:rPr>
              <w:t>or colleges</w:t>
            </w:r>
            <w:r w:rsidRPr="00495C2B">
              <w:rPr>
                <w:rFonts w:ascii="Calibri" w:hAnsi="Calibri" w:cs="Calibri"/>
                <w:b/>
                <w:bCs/>
                <w:lang w:val="en-AU" w:eastAsia="en-AU"/>
              </w:rPr>
              <w:t>:</w:t>
            </w:r>
            <w:r w:rsidR="00F02981" w:rsidRPr="00495C2B">
              <w:rPr>
                <w:rFonts w:ascii="Calibri" w:hAnsi="Calibri" w:cs="Calibri"/>
                <w:lang w:val="en-AU" w:eastAsia="en-AU"/>
              </w:rPr>
              <w:t xml:space="preserve"> </w:t>
            </w:r>
            <w:r w:rsidR="000B2270" w:rsidRPr="00495C2B">
              <w:rPr>
                <w:rFonts w:ascii="Calibri" w:hAnsi="Calibri" w:cs="Calibri"/>
                <w:lang w:val="en-AU" w:eastAsia="en-AU"/>
              </w:rPr>
              <w:t xml:space="preserve">Would </w:t>
            </w:r>
            <w:r w:rsidR="008D5BD1" w:rsidRPr="00495C2B">
              <w:rPr>
                <w:rFonts w:ascii="Calibri" w:hAnsi="Calibri" w:cs="Calibri"/>
                <w:lang w:val="en-AU" w:eastAsia="en-AU"/>
              </w:rPr>
              <w:t xml:space="preserve">it be necessary to </w:t>
            </w:r>
            <w:r w:rsidR="009E0AEA" w:rsidRPr="00495C2B">
              <w:rPr>
                <w:rFonts w:ascii="Calibri" w:hAnsi="Calibri" w:cs="Calibri"/>
                <w:lang w:val="en-AU" w:eastAsia="en-AU"/>
              </w:rPr>
              <w:t xml:space="preserve">include specific requirements to </w:t>
            </w:r>
            <w:r w:rsidR="000B2270" w:rsidRPr="00495C2B">
              <w:rPr>
                <w:rFonts w:ascii="Calibri" w:hAnsi="Calibri" w:cs="Calibri"/>
                <w:lang w:val="en-AU" w:eastAsia="en-AU"/>
              </w:rPr>
              <w:t>assess this criterion, for example, requiring the training setting/provider to be accredited by an industry body/regulato</w:t>
            </w:r>
            <w:r w:rsidRPr="00495C2B">
              <w:rPr>
                <w:rFonts w:ascii="Calibri" w:hAnsi="Calibri" w:cs="Calibri"/>
                <w:lang w:val="en-AU" w:eastAsia="en-AU"/>
              </w:rPr>
              <w:t xml:space="preserve">r such as </w:t>
            </w:r>
            <w:r w:rsidR="000B2270" w:rsidRPr="00495C2B">
              <w:rPr>
                <w:rFonts w:ascii="Calibri" w:hAnsi="Calibri" w:cs="Calibri"/>
                <w:lang w:val="en-AU" w:eastAsia="en-AU"/>
              </w:rPr>
              <w:t xml:space="preserve">NATA or </w:t>
            </w:r>
            <w:r w:rsidRPr="00495C2B">
              <w:rPr>
                <w:rFonts w:ascii="Calibri" w:hAnsi="Calibri" w:cs="Calibri"/>
                <w:lang w:val="en-AU" w:eastAsia="en-AU"/>
              </w:rPr>
              <w:t xml:space="preserve">a </w:t>
            </w:r>
            <w:r w:rsidR="000B2270" w:rsidRPr="00495C2B">
              <w:rPr>
                <w:rFonts w:ascii="Calibri" w:hAnsi="Calibri" w:cs="Calibri"/>
                <w:lang w:val="en-AU" w:eastAsia="en-AU"/>
              </w:rPr>
              <w:t xml:space="preserve">radiation safety authority? </w:t>
            </w:r>
          </w:p>
          <w:p w14:paraId="0618FC92" w14:textId="7160CECE" w:rsidR="000B2270" w:rsidRPr="00495C2B" w:rsidRDefault="00591F8B" w:rsidP="00D8079B">
            <w:pPr>
              <w:spacing w:before="120" w:after="120"/>
              <w:rPr>
                <w:rFonts w:cstheme="minorHAnsi"/>
                <w:lang w:val="en-AU"/>
              </w:rPr>
            </w:pPr>
            <w:r w:rsidRPr="00495C2B">
              <w:rPr>
                <w:rFonts w:ascii="Calibri" w:hAnsi="Calibri" w:cs="Calibri"/>
                <w:b/>
                <w:bCs/>
                <w:lang w:val="en-AU"/>
              </w:rPr>
              <w:t xml:space="preserve">For </w:t>
            </w:r>
            <w:r w:rsidR="00187C24" w:rsidRPr="00495C2B">
              <w:rPr>
                <w:rFonts w:ascii="Calibri" w:hAnsi="Calibri" w:cs="Calibri"/>
                <w:b/>
                <w:bCs/>
                <w:lang w:val="en-AU"/>
              </w:rPr>
              <w:t xml:space="preserve">health </w:t>
            </w:r>
            <w:r w:rsidR="00BA6520" w:rsidRPr="00495C2B">
              <w:rPr>
                <w:rFonts w:ascii="Calibri" w:hAnsi="Calibri" w:cs="Calibri"/>
                <w:b/>
                <w:bCs/>
                <w:lang w:val="en-AU"/>
              </w:rPr>
              <w:t>services</w:t>
            </w:r>
            <w:r w:rsidRPr="00495C2B">
              <w:rPr>
                <w:rFonts w:ascii="Calibri" w:hAnsi="Calibri" w:cs="Calibri"/>
                <w:b/>
                <w:bCs/>
                <w:lang w:val="en-AU"/>
              </w:rPr>
              <w:t>:</w:t>
            </w:r>
            <w:r w:rsidR="00187C24" w:rsidRPr="00495C2B">
              <w:rPr>
                <w:rFonts w:ascii="Calibri" w:hAnsi="Calibri" w:cs="Calibri"/>
                <w:lang w:val="en-AU"/>
              </w:rPr>
              <w:t xml:space="preserve"> </w:t>
            </w:r>
            <w:r w:rsidR="007103C1" w:rsidRPr="00495C2B">
              <w:rPr>
                <w:rFonts w:ascii="Calibri" w:hAnsi="Calibri" w:cs="Calibri"/>
                <w:lang w:val="en-AU"/>
              </w:rPr>
              <w:t xml:space="preserve">What </w:t>
            </w:r>
            <w:r w:rsidRPr="00495C2B">
              <w:rPr>
                <w:rFonts w:ascii="Calibri" w:hAnsi="Calibri" w:cs="Calibri"/>
                <w:lang w:val="en-AU"/>
              </w:rPr>
              <w:t xml:space="preserve">should be considered </w:t>
            </w:r>
            <w:r w:rsidR="007103C1" w:rsidRPr="00495C2B">
              <w:rPr>
                <w:rFonts w:ascii="Calibri" w:hAnsi="Calibri" w:cs="Calibri"/>
                <w:lang w:val="en-AU"/>
              </w:rPr>
              <w:t xml:space="preserve">in </w:t>
            </w:r>
            <w:r w:rsidR="006950BD" w:rsidRPr="00495C2B">
              <w:rPr>
                <w:rFonts w:ascii="Calibri" w:hAnsi="Calibri" w:cs="Calibri"/>
                <w:lang w:val="en-AU"/>
              </w:rPr>
              <w:t>developing</w:t>
            </w:r>
            <w:r w:rsidR="007103C1" w:rsidRPr="00495C2B">
              <w:rPr>
                <w:rFonts w:ascii="Calibri" w:hAnsi="Calibri" w:cs="Calibri"/>
                <w:lang w:val="en-AU"/>
              </w:rPr>
              <w:t xml:space="preserve"> college</w:t>
            </w:r>
            <w:r w:rsidR="00A0609D" w:rsidRPr="00495C2B">
              <w:rPr>
                <w:rFonts w:ascii="Calibri" w:hAnsi="Calibri" w:cs="Calibri"/>
                <w:lang w:val="en-AU"/>
              </w:rPr>
              <w:t>-</w:t>
            </w:r>
            <w:r w:rsidR="007103C1" w:rsidRPr="00495C2B">
              <w:rPr>
                <w:rFonts w:ascii="Calibri" w:hAnsi="Calibri" w:cs="Calibri"/>
                <w:lang w:val="en-AU"/>
              </w:rPr>
              <w:t>specific requirements for this criterion?</w:t>
            </w:r>
          </w:p>
        </w:tc>
      </w:tr>
      <w:tr w:rsidR="00B77A3F" w:rsidRPr="00495C2B" w14:paraId="1E933014" w14:textId="77777777" w:rsidTr="6AA2306C">
        <w:trPr>
          <w:trHeight w:val="60"/>
        </w:trPr>
        <w:tc>
          <w:tcPr>
            <w:tcW w:w="9634" w:type="dxa"/>
            <w:shd w:val="clear" w:color="auto" w:fill="auto"/>
            <w:vAlign w:val="center"/>
          </w:tcPr>
          <w:p w14:paraId="78A25E0C" w14:textId="7BD3392D" w:rsidR="00502518" w:rsidRPr="00495C2B" w:rsidRDefault="009F7BE9" w:rsidP="006A53FD">
            <w:pPr>
              <w:spacing w:before="120" w:after="120"/>
              <w:rPr>
                <w:lang w:val="en-AU"/>
              </w:rPr>
            </w:pPr>
            <w:r w:rsidRPr="00495C2B">
              <w:rPr>
                <w:lang w:val="en-AU"/>
              </w:rPr>
              <w:t>Yes</w:t>
            </w:r>
            <w:r w:rsidR="005D0BE7" w:rsidRPr="00495C2B">
              <w:rPr>
                <w:lang w:val="en-AU"/>
              </w:rPr>
              <w:t xml:space="preserve">, </w:t>
            </w:r>
            <w:r w:rsidRPr="00495C2B">
              <w:rPr>
                <w:lang w:val="en-AU"/>
              </w:rPr>
              <w:t>these accreditation pieces can’t be entirely borne by the college</w:t>
            </w:r>
            <w:r w:rsidR="00502518" w:rsidRPr="00495C2B">
              <w:rPr>
                <w:lang w:val="en-AU"/>
              </w:rPr>
              <w:t>, e.g. if the college is unhappy about the radiation standards within a training setting, then they should communicate that to the radiation authority</w:t>
            </w:r>
            <w:r w:rsidRPr="00495C2B">
              <w:rPr>
                <w:lang w:val="en-AU"/>
              </w:rPr>
              <w:t xml:space="preserve">. </w:t>
            </w:r>
            <w:r w:rsidR="00502518" w:rsidRPr="00495C2B">
              <w:rPr>
                <w:lang w:val="en-AU"/>
              </w:rPr>
              <w:t>It is the role of government to determine which organisations/bodies accredit which areas of healthcare provision; the rule should be that there should be no double jeopardy.</w:t>
            </w:r>
          </w:p>
          <w:p w14:paraId="019264D0" w14:textId="33824417" w:rsidR="00370D7C" w:rsidRPr="00495C2B" w:rsidRDefault="00370D7C" w:rsidP="00370D7C">
            <w:pPr>
              <w:spacing w:before="120" w:after="120"/>
              <w:rPr>
                <w:lang w:val="en-AU"/>
              </w:rPr>
            </w:pPr>
            <w:r w:rsidRPr="00495C2B">
              <w:rPr>
                <w:lang w:val="en-AU"/>
              </w:rPr>
              <w:t>Crit</w:t>
            </w:r>
            <w:r w:rsidR="00C56E5C" w:rsidRPr="00495C2B">
              <w:rPr>
                <w:lang w:val="en-AU"/>
              </w:rPr>
              <w:t xml:space="preserve">erion </w:t>
            </w:r>
            <w:r w:rsidRPr="00495C2B">
              <w:rPr>
                <w:lang w:val="en-AU"/>
              </w:rPr>
              <w:t>2.1.6 is relevant but should be in addition to accreditation by the relevant college bodies.</w:t>
            </w:r>
          </w:p>
          <w:p w14:paraId="585DB91B" w14:textId="272E0FE9" w:rsidR="004862E9" w:rsidRPr="00495C2B" w:rsidRDefault="00720115" w:rsidP="006A53FD">
            <w:pPr>
              <w:spacing w:before="120" w:after="120"/>
              <w:rPr>
                <w:lang w:val="en-AU"/>
              </w:rPr>
            </w:pPr>
            <w:r>
              <w:rPr>
                <w:lang w:val="en-AU"/>
              </w:rPr>
              <w:t>A parallel query is</w:t>
            </w:r>
            <w:r w:rsidR="006A53FD" w:rsidRPr="00495C2B">
              <w:rPr>
                <w:lang w:val="en-AU"/>
              </w:rPr>
              <w:t xml:space="preserve"> </w:t>
            </w:r>
            <w:r w:rsidR="009F7BE9" w:rsidRPr="00495C2B">
              <w:rPr>
                <w:lang w:val="en-AU"/>
              </w:rPr>
              <w:t xml:space="preserve">what responsibility can colleges have for </w:t>
            </w:r>
            <w:r w:rsidR="006A53FD" w:rsidRPr="00495C2B">
              <w:rPr>
                <w:lang w:val="en-AU"/>
              </w:rPr>
              <w:t>bullying</w:t>
            </w:r>
            <w:r w:rsidR="00697BA5" w:rsidRPr="00495C2B">
              <w:rPr>
                <w:lang w:val="en-AU"/>
              </w:rPr>
              <w:t>, discrimination and sexual harassment</w:t>
            </w:r>
            <w:r w:rsidR="006A53FD" w:rsidRPr="00495C2B">
              <w:rPr>
                <w:lang w:val="en-AU"/>
              </w:rPr>
              <w:t xml:space="preserve"> </w:t>
            </w:r>
            <w:r w:rsidR="00697BA5" w:rsidRPr="00495C2B">
              <w:rPr>
                <w:lang w:val="en-AU"/>
              </w:rPr>
              <w:t>(</w:t>
            </w:r>
            <w:r w:rsidR="009F7BE9" w:rsidRPr="00495C2B">
              <w:rPr>
                <w:lang w:val="en-AU"/>
              </w:rPr>
              <w:t>BDSH</w:t>
            </w:r>
            <w:r w:rsidR="00697BA5" w:rsidRPr="00495C2B">
              <w:rPr>
                <w:lang w:val="en-AU"/>
              </w:rPr>
              <w:t>)</w:t>
            </w:r>
            <w:r w:rsidR="009F7BE9" w:rsidRPr="00495C2B">
              <w:rPr>
                <w:lang w:val="en-AU"/>
              </w:rPr>
              <w:t xml:space="preserve"> occurring by non-medical staff e.g. admin, nursing etc. Would this be a question for overall hospital accreditation?</w:t>
            </w:r>
            <w:r w:rsidR="00AC60C4">
              <w:rPr>
                <w:lang w:val="en-AU"/>
              </w:rPr>
              <w:t xml:space="preserve"> </w:t>
            </w:r>
            <w:r w:rsidR="00AC60C4" w:rsidRPr="00495C2B">
              <w:rPr>
                <w:lang w:val="en-AU"/>
              </w:rPr>
              <w:t>Accreditation for training is a blunt stick and requires a rigorous process. This is ultimately an employment responsibility and should be linked to hospital accreditation as well as training accreditation.</w:t>
            </w:r>
          </w:p>
        </w:tc>
      </w:tr>
      <w:tr w:rsidR="00286C41" w:rsidRPr="00495C2B" w14:paraId="141B792C" w14:textId="77777777" w:rsidTr="6AA2306C">
        <w:trPr>
          <w:trHeight w:val="841"/>
        </w:trPr>
        <w:tc>
          <w:tcPr>
            <w:tcW w:w="9634" w:type="dxa"/>
            <w:shd w:val="clear" w:color="auto" w:fill="D7EEF2" w:themeFill="accent3" w:themeFillTint="33"/>
            <w:vAlign w:val="center"/>
          </w:tcPr>
          <w:p w14:paraId="685E016C" w14:textId="77777777" w:rsidR="000C55D3" w:rsidRPr="00495C2B" w:rsidRDefault="00FC2900" w:rsidP="00D8079B">
            <w:pPr>
              <w:spacing w:before="120" w:after="120"/>
              <w:rPr>
                <w:rFonts w:ascii="Calibri" w:hAnsi="Calibri" w:cs="Calibri"/>
                <w:lang w:val="en-AU" w:eastAsia="en-AU"/>
              </w:rPr>
            </w:pPr>
            <w:r w:rsidRPr="00495C2B">
              <w:rPr>
                <w:rFonts w:ascii="Calibri" w:hAnsi="Calibri" w:cs="Calibri"/>
                <w:lang w:val="en-AU" w:eastAsia="en-AU"/>
              </w:rPr>
              <w:t xml:space="preserve">Criterion 2.2.1 provides for effective clinical supervision of trainees. </w:t>
            </w:r>
          </w:p>
          <w:p w14:paraId="52F153FA" w14:textId="1478FB20" w:rsidR="009A0552" w:rsidRPr="00495C2B" w:rsidRDefault="00832461" w:rsidP="00D8079B">
            <w:pPr>
              <w:spacing w:before="120" w:after="120"/>
              <w:rPr>
                <w:rFonts w:ascii="Calibri" w:hAnsi="Calibri" w:cs="Calibri"/>
                <w:lang w:val="en-AU" w:eastAsia="en-AU"/>
              </w:rPr>
            </w:pPr>
            <w:r w:rsidRPr="00495C2B">
              <w:rPr>
                <w:rFonts w:ascii="Calibri" w:hAnsi="Calibri" w:cs="Calibri"/>
                <w:b/>
                <w:bCs/>
                <w:lang w:val="en-AU" w:eastAsia="en-AU"/>
              </w:rPr>
              <w:t>F</w:t>
            </w:r>
            <w:r w:rsidR="000C55D3" w:rsidRPr="00495C2B">
              <w:rPr>
                <w:rFonts w:ascii="Calibri" w:hAnsi="Calibri" w:cs="Calibri"/>
                <w:b/>
                <w:bCs/>
                <w:lang w:val="en-AU" w:eastAsia="en-AU"/>
              </w:rPr>
              <w:t>or colleges</w:t>
            </w:r>
            <w:r w:rsidRPr="00495C2B">
              <w:rPr>
                <w:rFonts w:ascii="Calibri" w:hAnsi="Calibri" w:cs="Calibri"/>
                <w:b/>
                <w:bCs/>
                <w:lang w:val="en-AU" w:eastAsia="en-AU"/>
              </w:rPr>
              <w:t>:</w:t>
            </w:r>
            <w:r w:rsidR="000C55D3" w:rsidRPr="00495C2B">
              <w:rPr>
                <w:rFonts w:ascii="Calibri" w:hAnsi="Calibri" w:cs="Calibri"/>
                <w:lang w:val="en-AU" w:eastAsia="en-AU"/>
              </w:rPr>
              <w:t xml:space="preserve"> </w:t>
            </w:r>
            <w:r w:rsidR="00FC2900" w:rsidRPr="00495C2B">
              <w:rPr>
                <w:rFonts w:ascii="Calibri" w:hAnsi="Calibri" w:cs="Calibri"/>
                <w:lang w:val="en-AU" w:eastAsia="en-AU"/>
              </w:rPr>
              <w:t xml:space="preserve">Would </w:t>
            </w:r>
            <w:r w:rsidR="000C55D3" w:rsidRPr="00495C2B">
              <w:rPr>
                <w:rFonts w:ascii="Calibri" w:hAnsi="Calibri" w:cs="Calibri"/>
                <w:lang w:val="en-AU" w:eastAsia="en-AU"/>
              </w:rPr>
              <w:t xml:space="preserve">it be necessary to include </w:t>
            </w:r>
            <w:r w:rsidR="00FC2900" w:rsidRPr="00495C2B">
              <w:rPr>
                <w:rFonts w:ascii="Calibri" w:hAnsi="Calibri" w:cs="Calibri"/>
                <w:lang w:val="en-AU" w:eastAsia="en-AU"/>
              </w:rPr>
              <w:t xml:space="preserve">specific requirements to assess this criterion, for example, ratios for supervisors to trainees? </w:t>
            </w:r>
          </w:p>
          <w:p w14:paraId="2943A734" w14:textId="45B85448" w:rsidR="00FC2900" w:rsidRPr="00495C2B" w:rsidRDefault="00FC2900" w:rsidP="00D8079B">
            <w:pPr>
              <w:spacing w:before="120" w:after="120"/>
              <w:rPr>
                <w:rFonts w:ascii="Calibri" w:hAnsi="Calibri" w:cs="Calibri"/>
                <w:lang w:val="en-AU"/>
              </w:rPr>
            </w:pPr>
            <w:r w:rsidRPr="00495C2B">
              <w:rPr>
                <w:rFonts w:ascii="Calibri" w:hAnsi="Calibri" w:cs="Calibri"/>
                <w:lang w:val="en-AU" w:eastAsia="en-AU"/>
              </w:rPr>
              <w:t xml:space="preserve">If </w:t>
            </w:r>
            <w:r w:rsidR="00260BC0" w:rsidRPr="00495C2B">
              <w:rPr>
                <w:rFonts w:ascii="Calibri" w:hAnsi="Calibri" w:cs="Calibri"/>
                <w:lang w:val="en-AU" w:eastAsia="en-AU"/>
              </w:rPr>
              <w:t>yes</w:t>
            </w:r>
            <w:r w:rsidRPr="00495C2B">
              <w:rPr>
                <w:rFonts w:ascii="Calibri" w:hAnsi="Calibri" w:cs="Calibri"/>
                <w:lang w:val="en-AU" w:eastAsia="en-AU"/>
              </w:rPr>
              <w:t xml:space="preserve">, </w:t>
            </w:r>
            <w:r w:rsidR="00E636A6" w:rsidRPr="00495C2B">
              <w:rPr>
                <w:rFonts w:ascii="Calibri" w:hAnsi="Calibri" w:cs="Calibri"/>
                <w:lang w:val="en-AU" w:eastAsia="en-AU"/>
              </w:rPr>
              <w:t xml:space="preserve">please explain why </w:t>
            </w:r>
            <w:r w:rsidR="00120E7E" w:rsidRPr="00495C2B">
              <w:rPr>
                <w:rFonts w:ascii="Calibri" w:hAnsi="Calibri" w:cs="Calibri"/>
                <w:lang w:val="en-AU" w:eastAsia="en-AU"/>
              </w:rPr>
              <w:t xml:space="preserve">ratios are needed, </w:t>
            </w:r>
            <w:r w:rsidR="00E636A6" w:rsidRPr="00495C2B">
              <w:rPr>
                <w:rFonts w:ascii="Calibri" w:hAnsi="Calibri" w:cs="Calibri"/>
                <w:lang w:val="en-AU" w:eastAsia="en-AU"/>
              </w:rPr>
              <w:t xml:space="preserve">how </w:t>
            </w:r>
            <w:r w:rsidR="00A551BA" w:rsidRPr="00495C2B">
              <w:rPr>
                <w:rFonts w:ascii="Calibri" w:hAnsi="Calibri" w:cs="Calibri"/>
                <w:lang w:val="en-AU" w:eastAsia="en-AU"/>
              </w:rPr>
              <w:t>r</w:t>
            </w:r>
            <w:r w:rsidRPr="00495C2B">
              <w:rPr>
                <w:rFonts w:ascii="Calibri" w:hAnsi="Calibri" w:cs="Calibri"/>
                <w:lang w:val="en-AU"/>
              </w:rPr>
              <w:t xml:space="preserve">atios </w:t>
            </w:r>
            <w:r w:rsidR="00E636A6" w:rsidRPr="00495C2B">
              <w:rPr>
                <w:rFonts w:ascii="Calibri" w:hAnsi="Calibri" w:cs="Calibri"/>
                <w:lang w:val="en-AU"/>
              </w:rPr>
              <w:t xml:space="preserve">would </w:t>
            </w:r>
            <w:r w:rsidRPr="00495C2B">
              <w:rPr>
                <w:rFonts w:ascii="Calibri" w:hAnsi="Calibri" w:cs="Calibri"/>
                <w:lang w:val="en-AU"/>
              </w:rPr>
              <w:t>be determined</w:t>
            </w:r>
            <w:r w:rsidR="00A551BA" w:rsidRPr="00495C2B">
              <w:rPr>
                <w:rFonts w:ascii="Calibri" w:hAnsi="Calibri" w:cs="Calibri"/>
                <w:lang w:val="en-AU"/>
              </w:rPr>
              <w:t xml:space="preserve"> and</w:t>
            </w:r>
            <w:r w:rsidR="00E636A6" w:rsidRPr="00495C2B">
              <w:rPr>
                <w:rFonts w:ascii="Calibri" w:hAnsi="Calibri" w:cs="Calibri"/>
                <w:lang w:val="en-AU"/>
              </w:rPr>
              <w:t xml:space="preserve"> </w:t>
            </w:r>
            <w:r w:rsidR="00120E7E" w:rsidRPr="00495C2B">
              <w:rPr>
                <w:rFonts w:ascii="Calibri" w:hAnsi="Calibri" w:cs="Calibri"/>
                <w:lang w:val="en-AU"/>
              </w:rPr>
              <w:t xml:space="preserve">how such ratios </w:t>
            </w:r>
            <w:r w:rsidR="00E636A6" w:rsidRPr="00495C2B">
              <w:rPr>
                <w:rFonts w:ascii="Calibri" w:hAnsi="Calibri" w:cs="Calibri"/>
                <w:lang w:val="en-AU"/>
              </w:rPr>
              <w:t xml:space="preserve">align with </w:t>
            </w:r>
            <w:proofErr w:type="gramStart"/>
            <w:r w:rsidR="002915A2" w:rsidRPr="00495C2B">
              <w:rPr>
                <w:rFonts w:ascii="Calibri" w:hAnsi="Calibri" w:cs="Calibri"/>
                <w:lang w:val="en-AU"/>
              </w:rPr>
              <w:t>outcome</w:t>
            </w:r>
            <w:r w:rsidR="00A15CF5" w:rsidRPr="00495C2B">
              <w:rPr>
                <w:rFonts w:ascii="Calibri" w:hAnsi="Calibri" w:cs="Calibri"/>
                <w:lang w:val="en-AU"/>
              </w:rPr>
              <w:t>s</w:t>
            </w:r>
            <w:r w:rsidR="009642B0" w:rsidRPr="00495C2B">
              <w:rPr>
                <w:rFonts w:ascii="Calibri" w:hAnsi="Calibri" w:cs="Calibri"/>
                <w:lang w:val="en-AU"/>
              </w:rPr>
              <w:t xml:space="preserve"> </w:t>
            </w:r>
            <w:r w:rsidR="002915A2" w:rsidRPr="00495C2B">
              <w:rPr>
                <w:rFonts w:ascii="Calibri" w:hAnsi="Calibri" w:cs="Calibri"/>
                <w:lang w:val="en-AU"/>
              </w:rPr>
              <w:t>based</w:t>
            </w:r>
            <w:proofErr w:type="gramEnd"/>
            <w:r w:rsidR="00E636A6" w:rsidRPr="00495C2B">
              <w:rPr>
                <w:rFonts w:ascii="Calibri" w:hAnsi="Calibri" w:cs="Calibri"/>
                <w:lang w:val="en-AU"/>
              </w:rPr>
              <w:t xml:space="preserve"> accreditation</w:t>
            </w:r>
            <w:r w:rsidR="00E01794" w:rsidRPr="00495C2B">
              <w:rPr>
                <w:rFonts w:ascii="Calibri" w:hAnsi="Calibri" w:cs="Calibri"/>
                <w:lang w:val="en-AU"/>
              </w:rPr>
              <w:t>?</w:t>
            </w:r>
          </w:p>
          <w:p w14:paraId="467226CF" w14:textId="19E8C758" w:rsidR="00D54CB3" w:rsidRPr="00495C2B" w:rsidRDefault="00201405" w:rsidP="00D8079B">
            <w:pPr>
              <w:spacing w:before="120" w:after="120"/>
              <w:rPr>
                <w:rFonts w:ascii="Calibri" w:hAnsi="Calibri" w:cs="Calibri"/>
                <w:lang w:val="en-AU"/>
              </w:rPr>
            </w:pPr>
            <w:r w:rsidRPr="00495C2B">
              <w:rPr>
                <w:rFonts w:ascii="Calibri" w:hAnsi="Calibri" w:cs="Calibri"/>
                <w:lang w:val="en-AU"/>
              </w:rPr>
              <w:t>Please</w:t>
            </w:r>
            <w:r w:rsidR="00976BED" w:rsidRPr="00495C2B">
              <w:rPr>
                <w:rFonts w:ascii="Calibri" w:hAnsi="Calibri" w:cs="Calibri"/>
                <w:lang w:val="en-AU"/>
              </w:rPr>
              <w:t xml:space="preserve"> explain h</w:t>
            </w:r>
            <w:r w:rsidR="00D54CB3" w:rsidRPr="00495C2B">
              <w:rPr>
                <w:rFonts w:ascii="Calibri" w:hAnsi="Calibri" w:cs="Calibri"/>
                <w:lang w:val="en-AU"/>
              </w:rPr>
              <w:t xml:space="preserve">ow </w:t>
            </w:r>
            <w:proofErr w:type="gramStart"/>
            <w:r w:rsidR="00D54CB3" w:rsidRPr="00495C2B">
              <w:rPr>
                <w:rFonts w:ascii="Calibri" w:hAnsi="Calibri" w:cs="Calibri"/>
                <w:lang w:val="en-AU"/>
              </w:rPr>
              <w:t>would ratios</w:t>
            </w:r>
            <w:proofErr w:type="gramEnd"/>
            <w:r w:rsidR="00D54CB3" w:rsidRPr="00495C2B">
              <w:rPr>
                <w:rFonts w:ascii="Calibri" w:hAnsi="Calibri" w:cs="Calibri"/>
                <w:lang w:val="en-AU"/>
              </w:rPr>
              <w:t xml:space="preserve"> accommodate: </w:t>
            </w:r>
          </w:p>
          <w:p w14:paraId="2447B1D6" w14:textId="77777777" w:rsidR="00D54CB3" w:rsidRPr="00495C2B" w:rsidRDefault="00D54CB3" w:rsidP="00D8079B">
            <w:pPr>
              <w:pStyle w:val="ListParagraph"/>
              <w:numPr>
                <w:ilvl w:val="0"/>
                <w:numId w:val="5"/>
              </w:numPr>
              <w:spacing w:before="120" w:after="120"/>
              <w:contextualSpacing w:val="0"/>
              <w:rPr>
                <w:rFonts w:ascii="Calibri" w:hAnsi="Calibri" w:cs="Calibri"/>
                <w:lang w:val="en-AU"/>
              </w:rPr>
            </w:pPr>
            <w:r w:rsidRPr="00495C2B">
              <w:rPr>
                <w:rFonts w:ascii="Calibri" w:hAnsi="Calibri" w:cs="Calibri"/>
                <w:lang w:val="en-AU"/>
              </w:rPr>
              <w:t>flexibility for training in regional, rural and remote settings</w:t>
            </w:r>
          </w:p>
          <w:p w14:paraId="6D7E2206" w14:textId="77777777" w:rsidR="00D54CB3" w:rsidRPr="00495C2B" w:rsidRDefault="00D54CB3" w:rsidP="00D8079B">
            <w:pPr>
              <w:pStyle w:val="ListParagraph"/>
              <w:numPr>
                <w:ilvl w:val="0"/>
                <w:numId w:val="5"/>
              </w:numPr>
              <w:spacing w:before="120" w:after="120"/>
              <w:contextualSpacing w:val="0"/>
              <w:rPr>
                <w:rFonts w:ascii="Calibri" w:hAnsi="Calibri" w:cs="Calibri"/>
                <w:lang w:val="en-AU"/>
              </w:rPr>
            </w:pPr>
            <w:r w:rsidRPr="00495C2B">
              <w:rPr>
                <w:rFonts w:ascii="Calibri" w:hAnsi="Calibri" w:cs="Calibri"/>
                <w:lang w:val="en-AU"/>
              </w:rPr>
              <w:t>situations where training settings have difficulty in recruiting supervisors despite best efforts</w:t>
            </w:r>
          </w:p>
          <w:p w14:paraId="184C6289" w14:textId="77777777" w:rsidR="00286C41" w:rsidRPr="00495C2B" w:rsidRDefault="00D54CB3" w:rsidP="00D8079B">
            <w:pPr>
              <w:pStyle w:val="ListParagraph"/>
              <w:numPr>
                <w:ilvl w:val="0"/>
                <w:numId w:val="5"/>
              </w:numPr>
              <w:spacing w:before="120" w:after="120"/>
              <w:contextualSpacing w:val="0"/>
              <w:rPr>
                <w:lang w:val="en-AU"/>
              </w:rPr>
            </w:pPr>
            <w:r w:rsidRPr="00495C2B">
              <w:rPr>
                <w:rFonts w:ascii="Calibri" w:hAnsi="Calibri" w:cs="Calibri"/>
                <w:lang w:val="en-AU"/>
              </w:rPr>
              <w:t>remote supervision?</w:t>
            </w:r>
          </w:p>
          <w:p w14:paraId="736F68FC" w14:textId="6F0E9308" w:rsidR="000C55D3" w:rsidRPr="00495C2B" w:rsidRDefault="00120E7E" w:rsidP="00D8079B">
            <w:pPr>
              <w:spacing w:before="120" w:after="120"/>
              <w:rPr>
                <w:lang w:val="en-AU"/>
              </w:rPr>
            </w:pPr>
            <w:r w:rsidRPr="00495C2B">
              <w:rPr>
                <w:b/>
                <w:bCs/>
                <w:lang w:val="en-AU"/>
              </w:rPr>
              <w:t>F</w:t>
            </w:r>
            <w:r w:rsidR="00070AD3" w:rsidRPr="00495C2B">
              <w:rPr>
                <w:b/>
                <w:bCs/>
                <w:lang w:val="en-AU"/>
              </w:rPr>
              <w:t xml:space="preserve">or </w:t>
            </w:r>
            <w:r w:rsidR="002915A2" w:rsidRPr="00495C2B">
              <w:rPr>
                <w:b/>
                <w:bCs/>
                <w:lang w:val="en-AU"/>
              </w:rPr>
              <w:t>health services</w:t>
            </w:r>
            <w:r w:rsidRPr="00495C2B">
              <w:rPr>
                <w:rFonts w:ascii="Calibri" w:hAnsi="Calibri" w:cs="Calibri"/>
                <w:lang w:val="en-AU"/>
              </w:rPr>
              <w:t>:</w:t>
            </w:r>
            <w:r w:rsidR="00070AD3" w:rsidRPr="00495C2B">
              <w:rPr>
                <w:rFonts w:ascii="Calibri" w:hAnsi="Calibri" w:cs="Calibri"/>
                <w:lang w:val="en-AU"/>
              </w:rPr>
              <w:t xml:space="preserve"> What </w:t>
            </w:r>
            <w:r w:rsidRPr="00495C2B">
              <w:rPr>
                <w:rFonts w:ascii="Calibri" w:hAnsi="Calibri" w:cs="Calibri"/>
                <w:lang w:val="en-AU"/>
              </w:rPr>
              <w:t xml:space="preserve">should be considered </w:t>
            </w:r>
            <w:r w:rsidR="00070AD3" w:rsidRPr="00495C2B">
              <w:rPr>
                <w:rFonts w:ascii="Calibri" w:hAnsi="Calibri" w:cs="Calibri"/>
                <w:lang w:val="en-AU"/>
              </w:rPr>
              <w:t xml:space="preserve">in </w:t>
            </w:r>
            <w:r w:rsidR="002915A2" w:rsidRPr="00495C2B">
              <w:rPr>
                <w:rFonts w:ascii="Calibri" w:hAnsi="Calibri" w:cs="Calibri"/>
                <w:lang w:val="en-AU"/>
              </w:rPr>
              <w:t>developing</w:t>
            </w:r>
            <w:r w:rsidR="00070AD3" w:rsidRPr="00495C2B">
              <w:rPr>
                <w:rFonts w:ascii="Calibri" w:hAnsi="Calibri" w:cs="Calibri"/>
                <w:lang w:val="en-AU"/>
              </w:rPr>
              <w:t xml:space="preserve"> college</w:t>
            </w:r>
            <w:r w:rsidR="00BA3343" w:rsidRPr="00495C2B">
              <w:rPr>
                <w:rFonts w:ascii="Calibri" w:hAnsi="Calibri" w:cs="Calibri"/>
                <w:lang w:val="en-AU"/>
              </w:rPr>
              <w:t>-</w:t>
            </w:r>
            <w:r w:rsidR="00070AD3" w:rsidRPr="00495C2B">
              <w:rPr>
                <w:rFonts w:ascii="Calibri" w:hAnsi="Calibri" w:cs="Calibri"/>
                <w:lang w:val="en-AU"/>
              </w:rPr>
              <w:t>specific requirements for this criterion?</w:t>
            </w:r>
          </w:p>
        </w:tc>
      </w:tr>
      <w:tr w:rsidR="005571A5" w:rsidRPr="00495C2B" w14:paraId="25AE519D" w14:textId="77777777" w:rsidTr="6AA2306C">
        <w:trPr>
          <w:trHeight w:val="1587"/>
        </w:trPr>
        <w:tc>
          <w:tcPr>
            <w:tcW w:w="9634" w:type="dxa"/>
            <w:shd w:val="clear" w:color="auto" w:fill="auto"/>
            <w:vAlign w:val="center"/>
          </w:tcPr>
          <w:p w14:paraId="52C89F69" w14:textId="77777777" w:rsidR="00781C6B" w:rsidRDefault="005571A5" w:rsidP="00953BEF">
            <w:pPr>
              <w:spacing w:before="120" w:after="120"/>
              <w:rPr>
                <w:lang w:val="en-AU"/>
              </w:rPr>
            </w:pPr>
            <w:r w:rsidRPr="00495C2B">
              <w:rPr>
                <w:lang w:val="en-AU"/>
              </w:rPr>
              <w:lastRenderedPageBreak/>
              <w:t xml:space="preserve">ANZCA already has criteria aligned with this. </w:t>
            </w:r>
          </w:p>
          <w:p w14:paraId="1DD8E119" w14:textId="5829EFBA" w:rsidR="00781C6B" w:rsidRDefault="3B4DC238" w:rsidP="00781C6B">
            <w:pPr>
              <w:spacing w:before="120"/>
              <w:rPr>
                <w:lang w:val="en-AU"/>
              </w:rPr>
            </w:pPr>
            <w:r w:rsidRPr="380A6D6B">
              <w:rPr>
                <w:lang w:val="en-AU"/>
              </w:rPr>
              <w:t xml:space="preserve">Anaesthetists operate in a high risk, complex and dynamic environment that necessitates trainees </w:t>
            </w:r>
            <w:r w:rsidR="65767500" w:rsidRPr="380A6D6B">
              <w:rPr>
                <w:lang w:val="en-AU"/>
              </w:rPr>
              <w:t xml:space="preserve">to </w:t>
            </w:r>
            <w:r w:rsidRPr="380A6D6B">
              <w:rPr>
                <w:lang w:val="en-AU"/>
              </w:rPr>
              <w:t xml:space="preserve">demonstrate the appropriate knowledge and skills (especially airway, vascular access and resuscitation skills) through a formalised assessment prior to moving beyond direct 1:1 supervision. Moving to even more distant supervision is predicated on completion of Workplace Based Assessment </w:t>
            </w:r>
            <w:r w:rsidR="1C931F66" w:rsidRPr="380A6D6B">
              <w:rPr>
                <w:lang w:val="en-AU"/>
              </w:rPr>
              <w:t>(</w:t>
            </w:r>
            <w:r w:rsidR="00FD00A6" w:rsidRPr="380A6D6B">
              <w:rPr>
                <w:lang w:val="en-AU"/>
              </w:rPr>
              <w:t xml:space="preserve">WBA) </w:t>
            </w:r>
            <w:r w:rsidRPr="380A6D6B">
              <w:rPr>
                <w:lang w:val="en-AU"/>
              </w:rPr>
              <w:t xml:space="preserve">to demonstrate clinical competence to do so.  </w:t>
            </w:r>
          </w:p>
          <w:p w14:paraId="0DE8FFA4" w14:textId="00C18AE5" w:rsidR="00FF78AF" w:rsidRDefault="4CA8DEDD" w:rsidP="00781C6B">
            <w:pPr>
              <w:spacing w:before="120"/>
              <w:rPr>
                <w:lang w:val="en-AU"/>
              </w:rPr>
            </w:pPr>
            <w:r w:rsidRPr="380A6D6B">
              <w:rPr>
                <w:lang w:val="en-AU"/>
              </w:rPr>
              <w:t xml:space="preserve">Outcomes-based education requires it to be student-centric, teacher facilitated and relevant. Trainees need to be reflective to identify and seek out experiences that align with their development in the specialty. </w:t>
            </w:r>
            <w:proofErr w:type="gramStart"/>
            <w:r w:rsidRPr="380A6D6B">
              <w:rPr>
                <w:lang w:val="en-AU"/>
              </w:rPr>
              <w:t>In order to</w:t>
            </w:r>
            <w:proofErr w:type="gramEnd"/>
            <w:r w:rsidRPr="380A6D6B">
              <w:rPr>
                <w:lang w:val="en-AU"/>
              </w:rPr>
              <w:t xml:space="preserve"> best achieve this, they require the support and teaching of </w:t>
            </w:r>
            <w:r w:rsidR="6C6D7A43" w:rsidRPr="380A6D6B">
              <w:rPr>
                <w:lang w:val="en-AU"/>
              </w:rPr>
              <w:t>vocationally registered, appropriately qualified and credentialed specialists in anaesthesia (i.e. not general practice assistants or ACRRM graduates who may well be experienced but potentially have less training in anaesthesia than the trainee)</w:t>
            </w:r>
            <w:r w:rsidRPr="380A6D6B">
              <w:rPr>
                <w:lang w:val="en-AU"/>
              </w:rPr>
              <w:t xml:space="preserve"> to assist and guide them to achieve the outcomes of the course. Without adequate senior </w:t>
            </w:r>
            <w:proofErr w:type="spellStart"/>
            <w:r w:rsidRPr="380A6D6B">
              <w:rPr>
                <w:lang w:val="en-AU"/>
              </w:rPr>
              <w:t>staff:trainee</w:t>
            </w:r>
            <w:proofErr w:type="spellEnd"/>
            <w:r w:rsidRPr="380A6D6B">
              <w:rPr>
                <w:lang w:val="en-AU"/>
              </w:rPr>
              <w:t xml:space="preserve"> ratios there will not be the opportunity to develop these sophisticated relationships, or the trust that goes with them. Without setting appropriate ratios, either supervision of trainees or patient care suffers because to supervise trainees requires adequate time (as does patient care).</w:t>
            </w:r>
            <w:r w:rsidR="7C9383BC" w:rsidRPr="380A6D6B">
              <w:rPr>
                <w:lang w:val="en-AU"/>
              </w:rPr>
              <w:t xml:space="preserve"> It should be depending on level of trainees</w:t>
            </w:r>
            <w:r w:rsidR="44FA580E" w:rsidRPr="380A6D6B">
              <w:rPr>
                <w:lang w:val="en-AU"/>
              </w:rPr>
              <w:t xml:space="preserve"> </w:t>
            </w:r>
            <w:r w:rsidR="7C9383BC" w:rsidRPr="380A6D6B">
              <w:rPr>
                <w:lang w:val="en-AU"/>
              </w:rPr>
              <w:t>(basic/advance</w:t>
            </w:r>
            <w:r w:rsidR="5DFB24B7" w:rsidRPr="380A6D6B">
              <w:rPr>
                <w:lang w:val="en-AU"/>
              </w:rPr>
              <w:t>d</w:t>
            </w:r>
            <w:r w:rsidR="7C9383BC" w:rsidRPr="380A6D6B">
              <w:rPr>
                <w:lang w:val="en-AU"/>
              </w:rPr>
              <w:t>), dual fellowship or first fellowship.</w:t>
            </w:r>
          </w:p>
          <w:p w14:paraId="50F2B4F8" w14:textId="75987082" w:rsidR="005571A5" w:rsidRDefault="005571A5" w:rsidP="00953BEF">
            <w:pPr>
              <w:spacing w:before="120" w:after="120"/>
              <w:rPr>
                <w:lang w:val="en-AU"/>
              </w:rPr>
            </w:pPr>
            <w:r w:rsidRPr="00495C2B">
              <w:rPr>
                <w:lang w:val="en-AU"/>
              </w:rPr>
              <w:t xml:space="preserve">Often regional, rural and remote settings have more junior trainees or additional challenges such as availability of skilled help in a crisis. If we compromise on these ratios, it may be difficult or impossible for a site to provide sufficient supervision for training. To support building a regional workforce, it is vital that 1. Trainees are adequately trained and 2. Trainees have a sufficiently positive experience to consider working in that site again. </w:t>
            </w:r>
          </w:p>
          <w:p w14:paraId="5D26C30B" w14:textId="579E5D72" w:rsidR="00127DF6" w:rsidRDefault="00F32970" w:rsidP="00127DF6">
            <w:pPr>
              <w:spacing w:before="120" w:after="120"/>
              <w:rPr>
                <w:lang w:val="en-AU"/>
              </w:rPr>
            </w:pPr>
            <w:r w:rsidRPr="00495C2B">
              <w:rPr>
                <w:lang w:val="en-AU"/>
              </w:rPr>
              <w:t>It would be detrimental to patient safety to lower these requirements in the context in which we work, and it would not be possible to relax these to allow for flexibility in rural and remote areas or where there is difficulty recruiting supervisors.</w:t>
            </w:r>
            <w:r w:rsidR="00FA5F70">
              <w:rPr>
                <w:lang w:val="en-AU"/>
              </w:rPr>
              <w:t xml:space="preserve"> </w:t>
            </w:r>
            <w:r w:rsidR="00127DF6" w:rsidRPr="00495C2B">
              <w:rPr>
                <w:lang w:val="en-AU"/>
              </w:rPr>
              <w:t>If supervisors were recogni</w:t>
            </w:r>
            <w:r w:rsidR="00127DF6">
              <w:rPr>
                <w:lang w:val="en-AU"/>
              </w:rPr>
              <w:t>s</w:t>
            </w:r>
            <w:r w:rsidR="00127DF6" w:rsidRPr="00495C2B">
              <w:rPr>
                <w:lang w:val="en-AU"/>
              </w:rPr>
              <w:t>ed in some way, either through financial remuneration or accumulation of CPD time, this would make a supervisory role more attractive in hospitals that struggle to recruit a supervisor.</w:t>
            </w:r>
          </w:p>
          <w:p w14:paraId="5E0F3F38" w14:textId="798B71F3" w:rsidR="00BE3785" w:rsidRPr="00BE3785" w:rsidRDefault="55622C35" w:rsidP="00127DF6">
            <w:pPr>
              <w:spacing w:before="120" w:after="120"/>
              <w:rPr>
                <w:color w:val="000000" w:themeColor="text1"/>
                <w:lang w:val="en-AU"/>
              </w:rPr>
            </w:pPr>
            <w:r w:rsidRPr="380A6D6B">
              <w:rPr>
                <w:color w:val="000000" w:themeColor="text1"/>
                <w:lang w:val="en-AU"/>
              </w:rPr>
              <w:t>Any exception to the flexibility for rural and regional setting</w:t>
            </w:r>
            <w:r w:rsidR="0E004C6C" w:rsidRPr="380A6D6B">
              <w:rPr>
                <w:color w:val="000000" w:themeColor="text1"/>
                <w:lang w:val="en-AU"/>
              </w:rPr>
              <w:t>s</w:t>
            </w:r>
            <w:r w:rsidRPr="380A6D6B">
              <w:rPr>
                <w:color w:val="000000" w:themeColor="text1"/>
                <w:lang w:val="en-AU"/>
              </w:rPr>
              <w:t xml:space="preserve"> need</w:t>
            </w:r>
            <w:r w:rsidR="2292DD0B" w:rsidRPr="380A6D6B">
              <w:rPr>
                <w:color w:val="000000" w:themeColor="text1"/>
                <w:lang w:val="en-AU"/>
              </w:rPr>
              <w:t>s</w:t>
            </w:r>
            <w:r w:rsidRPr="380A6D6B">
              <w:rPr>
                <w:color w:val="000000" w:themeColor="text1"/>
                <w:lang w:val="en-AU"/>
              </w:rPr>
              <w:t xml:space="preserve"> to be evaluated by </w:t>
            </w:r>
            <w:r w:rsidR="742B7F59" w:rsidRPr="380A6D6B">
              <w:rPr>
                <w:color w:val="000000" w:themeColor="text1"/>
                <w:lang w:val="en-AU"/>
              </w:rPr>
              <w:t xml:space="preserve">a </w:t>
            </w:r>
            <w:r w:rsidRPr="380A6D6B">
              <w:rPr>
                <w:color w:val="000000" w:themeColor="text1"/>
                <w:lang w:val="en-AU"/>
              </w:rPr>
              <w:t xml:space="preserve">college and relevant committee before deviating from </w:t>
            </w:r>
            <w:r w:rsidR="43604964" w:rsidRPr="380A6D6B">
              <w:rPr>
                <w:color w:val="000000" w:themeColor="text1"/>
                <w:lang w:val="en-AU"/>
              </w:rPr>
              <w:t xml:space="preserve">the required </w:t>
            </w:r>
            <w:r w:rsidRPr="380A6D6B">
              <w:rPr>
                <w:color w:val="000000" w:themeColor="text1"/>
                <w:lang w:val="en-AU"/>
              </w:rPr>
              <w:t>standard</w:t>
            </w:r>
            <w:r w:rsidR="269C9D7A" w:rsidRPr="380A6D6B">
              <w:rPr>
                <w:color w:val="000000" w:themeColor="text1"/>
                <w:lang w:val="en-AU"/>
              </w:rPr>
              <w:t>s</w:t>
            </w:r>
            <w:r w:rsidRPr="380A6D6B">
              <w:rPr>
                <w:color w:val="000000" w:themeColor="text1"/>
                <w:lang w:val="en-AU"/>
              </w:rPr>
              <w:t>.</w:t>
            </w:r>
          </w:p>
          <w:p w14:paraId="71D6B247" w14:textId="3D65F7E5" w:rsidR="00A72D15" w:rsidRDefault="00975157" w:rsidP="00953BEF">
            <w:pPr>
              <w:spacing w:before="120" w:after="120"/>
              <w:rPr>
                <w:lang w:val="en-AU"/>
              </w:rPr>
            </w:pPr>
            <w:r>
              <w:rPr>
                <w:lang w:val="en-AU"/>
              </w:rPr>
              <w:t>In addition, t</w:t>
            </w:r>
            <w:r w:rsidR="00C575DF" w:rsidRPr="00C575DF">
              <w:rPr>
                <w:lang w:val="en-AU"/>
              </w:rPr>
              <w:t xml:space="preserve">rainees should not be surrogate specialists and should not be seen by training providers or jurisdictions as substitutes for adequate specialist cover. </w:t>
            </w:r>
          </w:p>
          <w:p w14:paraId="128F1009" w14:textId="64B2E78B" w:rsidR="00A72D15" w:rsidRPr="00495C2B" w:rsidRDefault="00A72D15" w:rsidP="00953BEF">
            <w:pPr>
              <w:spacing w:before="120" w:after="120"/>
              <w:rPr>
                <w:lang w:val="en-AU"/>
              </w:rPr>
            </w:pPr>
            <w:r w:rsidRPr="24F8B8F5">
              <w:rPr>
                <w:lang w:val="en-AU"/>
              </w:rPr>
              <w:t>Alternative solutions could be explored e.g.</w:t>
            </w:r>
            <w:r w:rsidR="00B06893">
              <w:rPr>
                <w:lang w:val="en-AU"/>
              </w:rPr>
              <w:t xml:space="preserve"> provisional fellowship year</w:t>
            </w:r>
            <w:r w:rsidR="00C91380">
              <w:rPr>
                <w:lang w:val="en-AU"/>
              </w:rPr>
              <w:t xml:space="preserve"> (PFY)</w:t>
            </w:r>
            <w:r w:rsidRPr="24F8B8F5">
              <w:rPr>
                <w:lang w:val="en-AU"/>
              </w:rPr>
              <w:t xml:space="preserve"> in rural specialist anaesthesia, with remote supervision of the PFY.</w:t>
            </w:r>
          </w:p>
          <w:p w14:paraId="7D043691" w14:textId="2E7C62E2" w:rsidR="00E41716" w:rsidRPr="00495C2B" w:rsidRDefault="6F1215E2" w:rsidP="000C7984">
            <w:pPr>
              <w:spacing w:before="120" w:after="120"/>
              <w:rPr>
                <w:lang w:val="en-AU"/>
              </w:rPr>
            </w:pPr>
            <w:r w:rsidRPr="380A6D6B">
              <w:rPr>
                <w:lang w:val="en-AU"/>
              </w:rPr>
              <w:t xml:space="preserve">In relation to </w:t>
            </w:r>
            <w:r w:rsidR="41A91007" w:rsidRPr="380A6D6B">
              <w:rPr>
                <w:lang w:val="en-AU"/>
              </w:rPr>
              <w:t>FPM</w:t>
            </w:r>
            <w:r w:rsidRPr="380A6D6B">
              <w:rPr>
                <w:lang w:val="en-AU"/>
              </w:rPr>
              <w:t>, they</w:t>
            </w:r>
            <w:r w:rsidR="41A91007" w:rsidRPr="380A6D6B">
              <w:rPr>
                <w:lang w:val="en-AU"/>
              </w:rPr>
              <w:t xml:space="preserve"> do not require specific ratios of supervisors to trainees. However, do require </w:t>
            </w:r>
            <w:r w:rsidR="303FBC78" w:rsidRPr="380A6D6B">
              <w:rPr>
                <w:lang w:val="en-AU"/>
              </w:rPr>
              <w:t>a bare minimum of staff FTE to facilitate supervision of trainees and to attract a sufficient caseload and patient numbers adequate for training exposure.</w:t>
            </w:r>
            <w:r w:rsidR="46D4A850" w:rsidRPr="380A6D6B">
              <w:rPr>
                <w:lang w:val="en-AU"/>
              </w:rPr>
              <w:t xml:space="preserve"> FPM requires </w:t>
            </w:r>
            <w:r w:rsidR="4F2CDDBB" w:rsidRPr="380A6D6B">
              <w:rPr>
                <w:lang w:val="en-AU"/>
              </w:rPr>
              <w:t xml:space="preserve">a </w:t>
            </w:r>
            <w:r w:rsidR="41A91007" w:rsidRPr="380A6D6B">
              <w:rPr>
                <w:lang w:val="en-AU"/>
              </w:rPr>
              <w:t xml:space="preserve">minimum of one session of clinical support time for the supervisor per fortnight for up to three trainees to enable the supervisor to fulfil their role. If there are more than three </w:t>
            </w:r>
            <w:r w:rsidR="64E2D0D7" w:rsidRPr="380A6D6B">
              <w:rPr>
                <w:lang w:val="en-AU"/>
              </w:rPr>
              <w:t>trainee</w:t>
            </w:r>
            <w:r w:rsidR="41A91007" w:rsidRPr="380A6D6B">
              <w:rPr>
                <w:lang w:val="en-AU"/>
              </w:rPr>
              <w:t>s in the unit, the supervisor needs to have one session dedicated to clinical support time each week.</w:t>
            </w:r>
          </w:p>
        </w:tc>
      </w:tr>
      <w:tr w:rsidR="005571A5" w:rsidRPr="00495C2B" w14:paraId="75B782E8" w14:textId="77777777" w:rsidTr="6AA2306C">
        <w:trPr>
          <w:trHeight w:val="841"/>
        </w:trPr>
        <w:tc>
          <w:tcPr>
            <w:tcW w:w="9634" w:type="dxa"/>
            <w:shd w:val="clear" w:color="auto" w:fill="D7EEF2" w:themeFill="accent3" w:themeFillTint="33"/>
            <w:vAlign w:val="center"/>
          </w:tcPr>
          <w:p w14:paraId="7913B26A" w14:textId="787B65C2" w:rsidR="005571A5" w:rsidRPr="00495C2B" w:rsidRDefault="005571A5" w:rsidP="005571A5">
            <w:pPr>
              <w:spacing w:before="120" w:after="120"/>
              <w:rPr>
                <w:rFonts w:ascii="Calibri" w:hAnsi="Calibri" w:cs="Calibri"/>
                <w:lang w:val="en-AU" w:eastAsia="en-AU"/>
              </w:rPr>
            </w:pPr>
            <w:r w:rsidRPr="00495C2B">
              <w:rPr>
                <w:rFonts w:ascii="Calibri" w:hAnsi="Calibri" w:cs="Calibri"/>
                <w:lang w:val="en-AU" w:eastAsia="en-AU"/>
              </w:rPr>
              <w:t xml:space="preserve">Criterion 3.1.1 provides for a clinical caseload and </w:t>
            </w:r>
            <w:proofErr w:type="spellStart"/>
            <w:r w:rsidRPr="00495C2B">
              <w:rPr>
                <w:rFonts w:ascii="Calibri" w:hAnsi="Calibri" w:cs="Calibri"/>
                <w:lang w:val="en-AU" w:eastAsia="en-AU"/>
              </w:rPr>
              <w:t>casemix</w:t>
            </w:r>
            <w:proofErr w:type="spellEnd"/>
            <w:r w:rsidRPr="00495C2B">
              <w:rPr>
                <w:rFonts w:ascii="Calibri" w:hAnsi="Calibri" w:cs="Calibri"/>
                <w:lang w:val="en-AU" w:eastAsia="en-AU"/>
              </w:rPr>
              <w:t xml:space="preserve"> to achieve the training program outcomes. </w:t>
            </w:r>
          </w:p>
          <w:p w14:paraId="0A1B4370" w14:textId="39BCB3FA" w:rsidR="005571A5" w:rsidRPr="00495C2B" w:rsidRDefault="005571A5" w:rsidP="005571A5">
            <w:pPr>
              <w:spacing w:before="120" w:after="120"/>
              <w:rPr>
                <w:rFonts w:ascii="Calibri" w:hAnsi="Calibri" w:cs="Calibri"/>
                <w:lang w:val="en-AU" w:eastAsia="en-AU"/>
              </w:rPr>
            </w:pPr>
            <w:r w:rsidRPr="00495C2B">
              <w:rPr>
                <w:rFonts w:ascii="Calibri" w:hAnsi="Calibri" w:cs="Calibri"/>
                <w:b/>
                <w:bCs/>
                <w:lang w:val="en-AU" w:eastAsia="en-AU"/>
              </w:rPr>
              <w:t>For colleges:</w:t>
            </w:r>
            <w:r w:rsidRPr="00495C2B">
              <w:rPr>
                <w:rFonts w:ascii="Calibri" w:hAnsi="Calibri" w:cs="Calibri"/>
                <w:lang w:val="en-AU" w:eastAsia="en-AU"/>
              </w:rPr>
              <w:t xml:space="preserve"> Would it be necessary to include specific requirements to assess this criterion, for example, logbook requirements, theatre time? </w:t>
            </w:r>
          </w:p>
          <w:p w14:paraId="5E29693F" w14:textId="15D78307" w:rsidR="005571A5" w:rsidRPr="00495C2B" w:rsidRDefault="005571A5" w:rsidP="005571A5">
            <w:pPr>
              <w:spacing w:before="120" w:after="120"/>
              <w:rPr>
                <w:rFonts w:ascii="Calibri" w:hAnsi="Calibri" w:cs="Calibri"/>
                <w:lang w:val="en-AU"/>
              </w:rPr>
            </w:pPr>
            <w:r w:rsidRPr="00495C2B">
              <w:rPr>
                <w:b/>
                <w:bCs/>
                <w:lang w:val="en-AU"/>
              </w:rPr>
              <w:t xml:space="preserve">For </w:t>
            </w:r>
            <w:r w:rsidRPr="00495C2B">
              <w:rPr>
                <w:rFonts w:ascii="Calibri" w:hAnsi="Calibri" w:cs="Calibri"/>
                <w:b/>
                <w:bCs/>
                <w:lang w:val="en-AU"/>
              </w:rPr>
              <w:t>health services:</w:t>
            </w:r>
            <w:r w:rsidRPr="00495C2B">
              <w:rPr>
                <w:rFonts w:ascii="Calibri" w:hAnsi="Calibri" w:cs="Calibri"/>
                <w:lang w:val="en-AU"/>
              </w:rPr>
              <w:t xml:space="preserve"> What should be considered in developing college-specific requirements for this criterion?</w:t>
            </w:r>
          </w:p>
        </w:tc>
      </w:tr>
      <w:tr w:rsidR="005571A5" w:rsidRPr="00495C2B" w14:paraId="74877C12" w14:textId="77777777" w:rsidTr="6AA2306C">
        <w:trPr>
          <w:trHeight w:val="866"/>
        </w:trPr>
        <w:tc>
          <w:tcPr>
            <w:tcW w:w="9634" w:type="dxa"/>
            <w:shd w:val="clear" w:color="auto" w:fill="auto"/>
            <w:vAlign w:val="center"/>
          </w:tcPr>
          <w:p w14:paraId="7B0C7922" w14:textId="27382105" w:rsidR="005571A5" w:rsidRPr="00495C2B" w:rsidRDefault="005E132E" w:rsidP="00984889">
            <w:pPr>
              <w:spacing w:before="120" w:after="120"/>
              <w:rPr>
                <w:lang w:val="en-AU"/>
              </w:rPr>
            </w:pPr>
            <w:r w:rsidRPr="24F8B8F5">
              <w:rPr>
                <w:lang w:val="en-AU"/>
              </w:rPr>
              <w:t>It would be necessary for ANZCA to add the specific requirements for interrogation of the</w:t>
            </w:r>
            <w:r w:rsidR="00C91380">
              <w:rPr>
                <w:lang w:val="en-AU"/>
              </w:rPr>
              <w:t xml:space="preserve"> Training Portfolio System</w:t>
            </w:r>
            <w:r w:rsidRPr="24F8B8F5">
              <w:rPr>
                <w:lang w:val="en-AU"/>
              </w:rPr>
              <w:t xml:space="preserve"> </w:t>
            </w:r>
            <w:r w:rsidR="00C91380">
              <w:rPr>
                <w:lang w:val="en-AU"/>
              </w:rPr>
              <w:t>(</w:t>
            </w:r>
            <w:r w:rsidRPr="24F8B8F5">
              <w:rPr>
                <w:lang w:val="en-AU"/>
              </w:rPr>
              <w:t>TPS</w:t>
            </w:r>
            <w:r w:rsidR="00C91380">
              <w:rPr>
                <w:lang w:val="en-AU"/>
              </w:rPr>
              <w:t>)</w:t>
            </w:r>
            <w:r w:rsidRPr="24F8B8F5">
              <w:rPr>
                <w:lang w:val="en-AU"/>
              </w:rPr>
              <w:t xml:space="preserve">, to ensure adequate access to </w:t>
            </w:r>
            <w:r w:rsidR="00FD00A6" w:rsidRPr="24F8B8F5">
              <w:rPr>
                <w:lang w:val="en-AU"/>
              </w:rPr>
              <w:t>volume of practice (</w:t>
            </w:r>
            <w:r w:rsidRPr="24F8B8F5">
              <w:rPr>
                <w:lang w:val="en-AU"/>
              </w:rPr>
              <w:t>VOP</w:t>
            </w:r>
            <w:r w:rsidR="00FD00A6" w:rsidRPr="24F8B8F5">
              <w:rPr>
                <w:lang w:val="en-AU"/>
              </w:rPr>
              <w:t>)</w:t>
            </w:r>
            <w:r w:rsidRPr="24F8B8F5">
              <w:rPr>
                <w:lang w:val="en-AU"/>
              </w:rPr>
              <w:t xml:space="preserve"> within the training time the site is accredited for.</w:t>
            </w:r>
            <w:r w:rsidR="00512F9E" w:rsidRPr="24F8B8F5">
              <w:rPr>
                <w:lang w:val="en-AU"/>
              </w:rPr>
              <w:t xml:space="preserve"> </w:t>
            </w:r>
            <w:r w:rsidR="00142ADE" w:rsidRPr="24F8B8F5">
              <w:rPr>
                <w:lang w:val="en-AU"/>
              </w:rPr>
              <w:t xml:space="preserve">Best practice for </w:t>
            </w:r>
            <w:r w:rsidR="00150CDC" w:rsidRPr="24F8B8F5">
              <w:rPr>
                <w:lang w:val="en-AU"/>
              </w:rPr>
              <w:t>Competency Based Medical Education (</w:t>
            </w:r>
            <w:r w:rsidR="00142ADE" w:rsidRPr="24F8B8F5">
              <w:rPr>
                <w:lang w:val="en-AU"/>
              </w:rPr>
              <w:t>CBME</w:t>
            </w:r>
            <w:r w:rsidR="00150CDC" w:rsidRPr="24F8B8F5">
              <w:rPr>
                <w:lang w:val="en-AU"/>
              </w:rPr>
              <w:t>)</w:t>
            </w:r>
            <w:r w:rsidR="00142ADE" w:rsidRPr="24F8B8F5">
              <w:rPr>
                <w:lang w:val="en-AU"/>
              </w:rPr>
              <w:t xml:space="preserve"> would be to demonstrate that a minimum amount of VOP has and can occur to demonstrate expertise. It would also </w:t>
            </w:r>
            <w:r w:rsidR="00142ADE" w:rsidRPr="24F8B8F5">
              <w:rPr>
                <w:lang w:val="en-AU"/>
              </w:rPr>
              <w:lastRenderedPageBreak/>
              <w:t>preclude sites rostering trainees to theatre but then diverting them to round</w:t>
            </w:r>
            <w:r w:rsidR="009515E0" w:rsidRPr="24F8B8F5">
              <w:rPr>
                <w:lang w:val="en-AU"/>
              </w:rPr>
              <w:t>s</w:t>
            </w:r>
            <w:r w:rsidR="00142ADE" w:rsidRPr="24F8B8F5">
              <w:rPr>
                <w:lang w:val="en-AU"/>
              </w:rPr>
              <w:t>/</w:t>
            </w:r>
            <w:r w:rsidR="00A075BE">
              <w:rPr>
                <w:lang w:val="en-AU"/>
              </w:rPr>
              <w:t>pre-anaesthesia clinic (</w:t>
            </w:r>
            <w:r w:rsidR="00142ADE" w:rsidRPr="24F8B8F5">
              <w:rPr>
                <w:lang w:val="en-AU"/>
              </w:rPr>
              <w:t>PAC</w:t>
            </w:r>
            <w:r w:rsidR="00A075BE">
              <w:rPr>
                <w:lang w:val="en-AU"/>
              </w:rPr>
              <w:t>)</w:t>
            </w:r>
            <w:r w:rsidR="00142ADE" w:rsidRPr="24F8B8F5">
              <w:rPr>
                <w:lang w:val="en-AU"/>
              </w:rPr>
              <w:t xml:space="preserve"> to cover service requirements.</w:t>
            </w:r>
          </w:p>
          <w:p w14:paraId="2FFE3447" w14:textId="2E11EB41" w:rsidR="009515E0" w:rsidRPr="00495C2B" w:rsidRDefault="009515E0" w:rsidP="009515E0">
            <w:pPr>
              <w:spacing w:before="120" w:after="120"/>
              <w:rPr>
                <w:lang w:val="en-AU"/>
              </w:rPr>
            </w:pPr>
            <w:r w:rsidRPr="00495C2B">
              <w:rPr>
                <w:lang w:val="en-AU"/>
              </w:rPr>
              <w:t>The AMC should stipulate that caseload/</w:t>
            </w:r>
            <w:proofErr w:type="spellStart"/>
            <w:r w:rsidRPr="00495C2B">
              <w:rPr>
                <w:lang w:val="en-AU"/>
              </w:rPr>
              <w:t>casemix</w:t>
            </w:r>
            <w:proofErr w:type="spellEnd"/>
            <w:r w:rsidRPr="00495C2B">
              <w:rPr>
                <w:lang w:val="en-AU"/>
              </w:rPr>
              <w:t xml:space="preserve"> should be mapped to the curriculum and roles in practice. The accreditation process is to ensure trainees have access to the caseload/</w:t>
            </w:r>
            <w:proofErr w:type="spellStart"/>
            <w:r w:rsidRPr="00495C2B">
              <w:rPr>
                <w:lang w:val="en-AU"/>
              </w:rPr>
              <w:t>casemix</w:t>
            </w:r>
            <w:proofErr w:type="spellEnd"/>
            <w:r w:rsidRPr="00495C2B">
              <w:rPr>
                <w:lang w:val="en-AU"/>
              </w:rPr>
              <w:t xml:space="preserve"> </w:t>
            </w:r>
            <w:proofErr w:type="spellStart"/>
            <w:r w:rsidR="00026DF6" w:rsidRPr="00495C2B">
              <w:rPr>
                <w:lang w:val="en-AU"/>
              </w:rPr>
              <w:t>i</w:t>
            </w:r>
            <w:proofErr w:type="spellEnd"/>
            <w:r w:rsidR="00026DF6" w:rsidRPr="00495C2B">
              <w:rPr>
                <w:lang w:val="en-AU"/>
              </w:rPr>
              <w:t>.</w:t>
            </w:r>
            <w:r w:rsidR="00026DF6" w:rsidRPr="00495C2B">
              <w:t>e.</w:t>
            </w:r>
            <w:r w:rsidRPr="00495C2B">
              <w:rPr>
                <w:lang w:val="en-AU"/>
              </w:rPr>
              <w:t xml:space="preserve"> emergency and elective caseloads and to ensure the ratio of trainee to caseload/</w:t>
            </w:r>
            <w:proofErr w:type="spellStart"/>
            <w:r w:rsidRPr="00495C2B">
              <w:rPr>
                <w:lang w:val="en-AU"/>
              </w:rPr>
              <w:t>casemix</w:t>
            </w:r>
            <w:proofErr w:type="spellEnd"/>
            <w:r w:rsidRPr="00495C2B">
              <w:rPr>
                <w:lang w:val="en-AU"/>
              </w:rPr>
              <w:t xml:space="preserve"> is appropriate.</w:t>
            </w:r>
          </w:p>
          <w:p w14:paraId="1C25E323" w14:textId="0B89512E" w:rsidR="00F51A7F" w:rsidRPr="00495C2B" w:rsidRDefault="00026DF6" w:rsidP="00984889">
            <w:pPr>
              <w:spacing w:before="120" w:after="120"/>
              <w:rPr>
                <w:lang w:val="en-AU"/>
              </w:rPr>
            </w:pPr>
            <w:r>
              <w:rPr>
                <w:lang w:val="en-AU"/>
              </w:rPr>
              <w:t xml:space="preserve">For </w:t>
            </w:r>
            <w:r w:rsidR="003166E9" w:rsidRPr="00495C2B">
              <w:rPr>
                <w:lang w:val="en-AU"/>
              </w:rPr>
              <w:t>FPM</w:t>
            </w:r>
            <w:r>
              <w:rPr>
                <w:lang w:val="en-AU"/>
              </w:rPr>
              <w:t>, they</w:t>
            </w:r>
            <w:r w:rsidR="003166E9" w:rsidRPr="00495C2B">
              <w:rPr>
                <w:lang w:val="en-AU"/>
              </w:rPr>
              <w:t xml:space="preserve"> would not set requirements around logbooks or theatre time. Units would need to demonstrate that they provide trainees with training across the breadth of the curriculum. </w:t>
            </w:r>
            <w:r w:rsidR="00124A25" w:rsidRPr="00495C2B">
              <w:rPr>
                <w:lang w:val="en-AU"/>
              </w:rPr>
              <w:t xml:space="preserve">Because FPM has trainees from various backgrounds, one size caseload may not suit every trainee depending on their previous experiences. </w:t>
            </w:r>
            <w:r w:rsidR="00D04FD6" w:rsidRPr="00495C2B">
              <w:rPr>
                <w:lang w:val="en-AU"/>
              </w:rPr>
              <w:t>Training sites should have the flexibility to vary caseload profiles to suit the needs of the trainee.</w:t>
            </w:r>
            <w:r w:rsidR="00D04FD6">
              <w:rPr>
                <w:lang w:val="en-AU"/>
              </w:rPr>
              <w:t xml:space="preserve"> </w:t>
            </w:r>
            <w:r w:rsidR="003166E9" w:rsidRPr="00495C2B">
              <w:rPr>
                <w:lang w:val="en-AU"/>
              </w:rPr>
              <w:t>This includes the unit taking on enough new patients each year to provide trainees with exposure to a range of patients.</w:t>
            </w:r>
            <w:r w:rsidR="00D04FD6" w:rsidRPr="00495C2B">
              <w:rPr>
                <w:lang w:val="en-AU"/>
              </w:rPr>
              <w:t xml:space="preserve"> Trainee feedback is necessary to ascertain whether learning goals have been achieved and this is already covered in 2.1.2</w:t>
            </w:r>
            <w:r w:rsidR="0022315B">
              <w:rPr>
                <w:lang w:val="en-AU"/>
              </w:rPr>
              <w:t xml:space="preserve"> (</w:t>
            </w:r>
            <w:r w:rsidR="0022315B" w:rsidRPr="0022315B">
              <w:rPr>
                <w:lang w:val="en-AU"/>
              </w:rPr>
              <w:t>Trainees can provide input and feedback</w:t>
            </w:r>
            <w:r w:rsidR="0022315B">
              <w:rPr>
                <w:lang w:val="en-AU"/>
              </w:rPr>
              <w:t>)</w:t>
            </w:r>
            <w:r w:rsidR="00D04FD6" w:rsidRPr="00495C2B">
              <w:rPr>
                <w:lang w:val="en-AU"/>
              </w:rPr>
              <w:t>.</w:t>
            </w:r>
          </w:p>
        </w:tc>
      </w:tr>
      <w:tr w:rsidR="005571A5" w:rsidRPr="00495C2B" w14:paraId="7B429752" w14:textId="77777777" w:rsidTr="6AA2306C">
        <w:trPr>
          <w:trHeight w:val="841"/>
        </w:trPr>
        <w:tc>
          <w:tcPr>
            <w:tcW w:w="9634" w:type="dxa"/>
            <w:shd w:val="clear" w:color="auto" w:fill="D7EEF2" w:themeFill="accent3" w:themeFillTint="33"/>
            <w:vAlign w:val="center"/>
          </w:tcPr>
          <w:p w14:paraId="10BB4C12" w14:textId="77777777" w:rsidR="005571A5" w:rsidRPr="00495C2B" w:rsidRDefault="005571A5" w:rsidP="005571A5">
            <w:pPr>
              <w:spacing w:before="120" w:after="120"/>
              <w:rPr>
                <w:rFonts w:ascii="Calibri" w:hAnsi="Calibri" w:cs="Calibri"/>
                <w:lang w:val="en-AU" w:eastAsia="en-AU"/>
              </w:rPr>
            </w:pPr>
            <w:r w:rsidRPr="00495C2B">
              <w:rPr>
                <w:rFonts w:ascii="Calibri" w:hAnsi="Calibri" w:cs="Calibri"/>
                <w:lang w:val="en-AU" w:eastAsia="en-AU"/>
              </w:rPr>
              <w:lastRenderedPageBreak/>
              <w:t xml:space="preserve">Criterion 3.1.2 provides for trainees to engage in structured and unstructured learning activities to achieve the training program outcomes. </w:t>
            </w:r>
          </w:p>
          <w:p w14:paraId="53581419" w14:textId="34817185" w:rsidR="005571A5" w:rsidRPr="00495C2B" w:rsidRDefault="005571A5" w:rsidP="005571A5">
            <w:pPr>
              <w:spacing w:before="120" w:after="120"/>
              <w:rPr>
                <w:rFonts w:ascii="Calibri" w:hAnsi="Calibri" w:cs="Calibri"/>
                <w:lang w:val="en-AU" w:eastAsia="en-AU"/>
              </w:rPr>
            </w:pPr>
            <w:r w:rsidRPr="00495C2B">
              <w:rPr>
                <w:rFonts w:ascii="Calibri" w:hAnsi="Calibri" w:cs="Calibri"/>
                <w:b/>
                <w:bCs/>
                <w:lang w:val="en-AU" w:eastAsia="en-AU"/>
              </w:rPr>
              <w:t>For colleges:</w:t>
            </w:r>
            <w:r w:rsidRPr="00495C2B">
              <w:rPr>
                <w:rFonts w:ascii="Calibri" w:hAnsi="Calibri" w:cs="Calibri"/>
                <w:lang w:val="en-AU" w:eastAsia="en-AU"/>
              </w:rPr>
              <w:t xml:space="preserve"> Would it be necessary to include specific requirements to assess this criterion, for example, a requirement for trainees to complete a research project, or a requirement that trainees have protected teaching/study time? Please explain your reasoning.</w:t>
            </w:r>
          </w:p>
          <w:p w14:paraId="0CF3AD0E" w14:textId="5706FAC6" w:rsidR="005571A5" w:rsidRPr="00495C2B" w:rsidRDefault="005571A5" w:rsidP="005571A5">
            <w:pPr>
              <w:spacing w:before="120" w:after="120"/>
              <w:rPr>
                <w:lang w:val="en-AU"/>
              </w:rPr>
            </w:pPr>
            <w:r w:rsidRPr="00495C2B">
              <w:rPr>
                <w:b/>
                <w:bCs/>
                <w:lang w:val="en-AU"/>
              </w:rPr>
              <w:t>For health services</w:t>
            </w:r>
            <w:r w:rsidRPr="00495C2B">
              <w:rPr>
                <w:rFonts w:ascii="Calibri" w:hAnsi="Calibri" w:cs="Calibri"/>
                <w:b/>
                <w:bCs/>
                <w:lang w:val="en-AU"/>
              </w:rPr>
              <w:t>:</w:t>
            </w:r>
            <w:r w:rsidRPr="00495C2B">
              <w:rPr>
                <w:rFonts w:ascii="Calibri" w:hAnsi="Calibri" w:cs="Calibri"/>
                <w:lang w:val="en-AU"/>
              </w:rPr>
              <w:t xml:space="preserve"> What should be considered in developing college-specific requirements for this criterion?</w:t>
            </w:r>
          </w:p>
        </w:tc>
      </w:tr>
      <w:tr w:rsidR="005571A5" w:rsidRPr="00495C2B" w14:paraId="4F9143B6" w14:textId="77777777" w:rsidTr="6AA2306C">
        <w:trPr>
          <w:trHeight w:val="1587"/>
        </w:trPr>
        <w:tc>
          <w:tcPr>
            <w:tcW w:w="9634" w:type="dxa"/>
            <w:shd w:val="clear" w:color="auto" w:fill="auto"/>
            <w:vAlign w:val="center"/>
          </w:tcPr>
          <w:p w14:paraId="7C3DB155" w14:textId="3A463719" w:rsidR="003D0226" w:rsidRPr="00D40486" w:rsidRDefault="0014028A" w:rsidP="003D0226">
            <w:pPr>
              <w:spacing w:before="120" w:after="120"/>
              <w:rPr>
                <w:color w:val="000000" w:themeColor="text1"/>
                <w:lang w:val="en-AU"/>
              </w:rPr>
            </w:pPr>
            <w:r w:rsidRPr="00D40486">
              <w:rPr>
                <w:color w:val="000000" w:themeColor="text1"/>
                <w:lang w:val="en-AU"/>
              </w:rPr>
              <w:t xml:space="preserve">Trainees should have protected teaching </w:t>
            </w:r>
            <w:r w:rsidR="003D0226" w:rsidRPr="00D40486">
              <w:rPr>
                <w:color w:val="000000" w:themeColor="text1"/>
                <w:lang w:val="en-AU"/>
              </w:rPr>
              <w:t>time</w:t>
            </w:r>
            <w:r w:rsidR="003D0226" w:rsidRPr="00D40486">
              <w:rPr>
                <w:color w:val="000000" w:themeColor="text1"/>
              </w:rPr>
              <w:t>,</w:t>
            </w:r>
            <w:r w:rsidRPr="00D40486">
              <w:rPr>
                <w:color w:val="000000" w:themeColor="text1"/>
                <w:lang w:val="en-AU"/>
              </w:rPr>
              <w:t xml:space="preserve"> and m</w:t>
            </w:r>
            <w:r w:rsidR="006C47D0" w:rsidRPr="00D40486">
              <w:rPr>
                <w:color w:val="000000" w:themeColor="text1"/>
                <w:lang w:val="en-AU"/>
              </w:rPr>
              <w:t>any regions already have EBAs specifying training time</w:t>
            </w:r>
            <w:r w:rsidR="00027749" w:rsidRPr="00D40486">
              <w:rPr>
                <w:color w:val="000000" w:themeColor="text1"/>
                <w:lang w:val="en-AU"/>
              </w:rPr>
              <w:t xml:space="preserve"> (although u</w:t>
            </w:r>
            <w:r w:rsidR="003D0226" w:rsidRPr="00D40486">
              <w:rPr>
                <w:color w:val="000000" w:themeColor="text1"/>
                <w:lang w:val="en-AU"/>
              </w:rPr>
              <w:t>nfortunately employment laws affecting junior doctors vary across the various jurisdictions</w:t>
            </w:r>
            <w:r w:rsidR="00027749" w:rsidRPr="00D40486">
              <w:rPr>
                <w:color w:val="000000" w:themeColor="text1"/>
                <w:lang w:val="en-AU"/>
              </w:rPr>
              <w:t>)</w:t>
            </w:r>
            <w:r w:rsidR="003D0226" w:rsidRPr="00D40486">
              <w:rPr>
                <w:color w:val="000000" w:themeColor="text1"/>
                <w:lang w:val="en-AU"/>
              </w:rPr>
              <w:t xml:space="preserve">. </w:t>
            </w:r>
            <w:proofErr w:type="gramStart"/>
            <w:r w:rsidR="003D0226" w:rsidRPr="00D40486">
              <w:rPr>
                <w:color w:val="000000" w:themeColor="text1"/>
                <w:lang w:val="en-AU"/>
              </w:rPr>
              <w:t>In order to</w:t>
            </w:r>
            <w:proofErr w:type="gramEnd"/>
            <w:r w:rsidR="003D0226" w:rsidRPr="00D40486">
              <w:rPr>
                <w:color w:val="000000" w:themeColor="text1"/>
                <w:lang w:val="en-AU"/>
              </w:rPr>
              <w:t xml:space="preserve"> ensure that trainees are provided with adequate time within their rostered hours to complete their program (rather than doing everything in their personal time), developing recommendations in this area are deemed necessary. This also dissuades education providers using trainees for just service provision</w:t>
            </w:r>
            <w:r w:rsidR="00822C7D" w:rsidRPr="00D40486">
              <w:rPr>
                <w:color w:val="000000" w:themeColor="text1"/>
                <w:lang w:val="en-AU"/>
              </w:rPr>
              <w:t xml:space="preserve">. </w:t>
            </w:r>
          </w:p>
          <w:p w14:paraId="4E341083" w14:textId="4F95341D" w:rsidR="00F02242" w:rsidRPr="00D40486" w:rsidRDefault="00822C7D" w:rsidP="00EF73E8">
            <w:pPr>
              <w:spacing w:before="120" w:after="120"/>
              <w:rPr>
                <w:color w:val="000000" w:themeColor="text1"/>
                <w:lang w:val="en-AU"/>
              </w:rPr>
            </w:pPr>
            <w:r w:rsidRPr="00D40486">
              <w:rPr>
                <w:color w:val="000000" w:themeColor="text1"/>
                <w:lang w:val="en-AU"/>
              </w:rPr>
              <w:t>T</w:t>
            </w:r>
            <w:r w:rsidR="006C47D0" w:rsidRPr="00D40486">
              <w:rPr>
                <w:color w:val="000000" w:themeColor="text1"/>
                <w:lang w:val="en-AU"/>
              </w:rPr>
              <w:t>his could be an alternative method of operationali</w:t>
            </w:r>
            <w:r w:rsidR="0087097F" w:rsidRPr="00D40486">
              <w:rPr>
                <w:color w:val="000000" w:themeColor="text1"/>
                <w:lang w:val="en-AU"/>
              </w:rPr>
              <w:t>s</w:t>
            </w:r>
            <w:r w:rsidR="006C47D0" w:rsidRPr="00D40486">
              <w:rPr>
                <w:color w:val="000000" w:themeColor="text1"/>
                <w:lang w:val="en-AU"/>
              </w:rPr>
              <w:t>ing those requirements</w:t>
            </w:r>
            <w:r w:rsidRPr="00D40486">
              <w:rPr>
                <w:color w:val="000000" w:themeColor="text1"/>
                <w:lang w:val="en-AU"/>
              </w:rPr>
              <w:t xml:space="preserve"> if not in relevant jurisdictional employment laws</w:t>
            </w:r>
            <w:r w:rsidR="006C47D0" w:rsidRPr="00D40486">
              <w:rPr>
                <w:color w:val="000000" w:themeColor="text1"/>
                <w:lang w:val="en-AU"/>
              </w:rPr>
              <w:t xml:space="preserve">. </w:t>
            </w:r>
            <w:r w:rsidR="00F02242" w:rsidRPr="00D40486">
              <w:rPr>
                <w:color w:val="000000" w:themeColor="text1"/>
                <w:lang w:val="en-AU"/>
              </w:rPr>
              <w:t>It would be necessary for ANZCA to mandate specific requirements for access to teaching and education time, free of clinical responsibilities:</w:t>
            </w:r>
          </w:p>
          <w:p w14:paraId="3E6A474F" w14:textId="77777777" w:rsidR="00F02242" w:rsidRPr="00D40486" w:rsidRDefault="00F02242" w:rsidP="00EF73E8">
            <w:pPr>
              <w:numPr>
                <w:ilvl w:val="0"/>
                <w:numId w:val="11"/>
              </w:numPr>
              <w:spacing w:before="120" w:after="120"/>
              <w:rPr>
                <w:color w:val="000000" w:themeColor="text1"/>
                <w:lang w:val="en-AU"/>
              </w:rPr>
            </w:pPr>
            <w:r w:rsidRPr="00D40486">
              <w:rPr>
                <w:color w:val="000000" w:themeColor="text1"/>
                <w:lang w:val="en-AU"/>
              </w:rPr>
              <w:t>for teaching exam content and technique to facilitate success</w:t>
            </w:r>
          </w:p>
          <w:p w14:paraId="0E3E73C0" w14:textId="36DD1534" w:rsidR="00F02242" w:rsidRPr="00D40486" w:rsidRDefault="00F02242" w:rsidP="00EF73E8">
            <w:pPr>
              <w:numPr>
                <w:ilvl w:val="0"/>
                <w:numId w:val="11"/>
              </w:numPr>
              <w:spacing w:before="120" w:after="120"/>
              <w:rPr>
                <w:color w:val="000000" w:themeColor="text1"/>
                <w:lang w:val="en-AU"/>
              </w:rPr>
            </w:pPr>
            <w:r w:rsidRPr="00D40486">
              <w:rPr>
                <w:color w:val="000000" w:themeColor="text1"/>
                <w:lang w:val="en-AU"/>
              </w:rPr>
              <w:t xml:space="preserve">for teaching and assessing mandatory WBA such as </w:t>
            </w:r>
            <w:r w:rsidR="00EF73E8" w:rsidRPr="00D40486">
              <w:rPr>
                <w:color w:val="000000" w:themeColor="text1"/>
                <w:lang w:val="en-AU"/>
              </w:rPr>
              <w:t xml:space="preserve">Can’t </w:t>
            </w:r>
            <w:r w:rsidR="00442C3E">
              <w:rPr>
                <w:color w:val="000000" w:themeColor="text1"/>
                <w:lang w:val="en-AU"/>
              </w:rPr>
              <w:t>I</w:t>
            </w:r>
            <w:r w:rsidR="00EF73E8" w:rsidRPr="00D40486">
              <w:rPr>
                <w:color w:val="000000" w:themeColor="text1"/>
                <w:lang w:val="en-AU"/>
              </w:rPr>
              <w:t xml:space="preserve">ntubate, Can’t </w:t>
            </w:r>
            <w:r w:rsidR="00442C3E">
              <w:rPr>
                <w:color w:val="000000" w:themeColor="text1"/>
                <w:lang w:val="en-AU"/>
              </w:rPr>
              <w:t>O</w:t>
            </w:r>
            <w:r w:rsidR="00EF73E8" w:rsidRPr="00D40486">
              <w:rPr>
                <w:color w:val="000000" w:themeColor="text1"/>
                <w:lang w:val="en-AU"/>
              </w:rPr>
              <w:t>xygenate (</w:t>
            </w:r>
            <w:r w:rsidRPr="00D40486">
              <w:rPr>
                <w:color w:val="000000" w:themeColor="text1"/>
                <w:lang w:val="en-AU"/>
              </w:rPr>
              <w:t>CICO</w:t>
            </w:r>
            <w:r w:rsidR="00EF73E8" w:rsidRPr="00D40486">
              <w:rPr>
                <w:color w:val="000000" w:themeColor="text1"/>
                <w:lang w:val="en-AU"/>
              </w:rPr>
              <w:t>)</w:t>
            </w:r>
            <w:r w:rsidRPr="00D40486">
              <w:rPr>
                <w:color w:val="000000" w:themeColor="text1"/>
                <w:lang w:val="en-AU"/>
              </w:rPr>
              <w:t xml:space="preserve"> and </w:t>
            </w:r>
            <w:r w:rsidR="003F6A34" w:rsidRPr="00D40486">
              <w:rPr>
                <w:color w:val="000000" w:themeColor="text1"/>
                <w:lang w:val="en-AU"/>
              </w:rPr>
              <w:t>advanced life support (</w:t>
            </w:r>
            <w:r w:rsidRPr="00D40486">
              <w:rPr>
                <w:color w:val="000000" w:themeColor="text1"/>
                <w:lang w:val="en-AU"/>
              </w:rPr>
              <w:t>ALS</w:t>
            </w:r>
            <w:r w:rsidR="003F6A34" w:rsidRPr="00D40486">
              <w:rPr>
                <w:color w:val="000000" w:themeColor="text1"/>
                <w:lang w:val="en-AU"/>
              </w:rPr>
              <w:t>)</w:t>
            </w:r>
            <w:r w:rsidR="00210EAC" w:rsidRPr="00D40486">
              <w:rPr>
                <w:color w:val="000000" w:themeColor="text1"/>
                <w:lang w:val="en-AU"/>
              </w:rPr>
              <w:t xml:space="preserve"> </w:t>
            </w:r>
          </w:p>
          <w:p w14:paraId="7FDF5BC3" w14:textId="63783807" w:rsidR="00210EAC" w:rsidRPr="00D40486" w:rsidRDefault="00F02242" w:rsidP="00EF73E8">
            <w:pPr>
              <w:numPr>
                <w:ilvl w:val="0"/>
                <w:numId w:val="11"/>
              </w:numPr>
              <w:spacing w:before="120" w:after="120"/>
              <w:rPr>
                <w:color w:val="000000" w:themeColor="text1"/>
                <w:lang w:val="en-AU"/>
              </w:rPr>
            </w:pPr>
            <w:r w:rsidRPr="00D40486">
              <w:rPr>
                <w:color w:val="000000" w:themeColor="text1"/>
                <w:lang w:val="en-AU"/>
              </w:rPr>
              <w:t>for completion of Scholar Role Activities</w:t>
            </w:r>
          </w:p>
          <w:p w14:paraId="0CEB3C42" w14:textId="0E63F948" w:rsidR="00F02242" w:rsidRPr="00D40486" w:rsidRDefault="00210EAC" w:rsidP="00EF73E8">
            <w:pPr>
              <w:numPr>
                <w:ilvl w:val="0"/>
                <w:numId w:val="11"/>
              </w:numPr>
              <w:spacing w:before="120" w:after="120"/>
              <w:rPr>
                <w:color w:val="000000" w:themeColor="text1"/>
                <w:lang w:val="en-AU"/>
              </w:rPr>
            </w:pPr>
            <w:r w:rsidRPr="00D40486">
              <w:rPr>
                <w:color w:val="000000" w:themeColor="text1"/>
                <w:lang w:val="en-AU"/>
              </w:rPr>
              <w:t>protected study time</w:t>
            </w:r>
            <w:r w:rsidR="004B6B9A" w:rsidRPr="00D40486">
              <w:rPr>
                <w:color w:val="000000" w:themeColor="text1"/>
                <w:lang w:val="en-AU"/>
              </w:rPr>
              <w:t>, including time for research</w:t>
            </w:r>
            <w:r w:rsidR="003D0226" w:rsidRPr="00D40486">
              <w:rPr>
                <w:color w:val="000000" w:themeColor="text1"/>
                <w:lang w:val="en-AU"/>
              </w:rPr>
              <w:t xml:space="preserve"> literacy</w:t>
            </w:r>
            <w:r w:rsidR="004B6B9A" w:rsidRPr="00D40486">
              <w:rPr>
                <w:color w:val="000000" w:themeColor="text1"/>
                <w:lang w:val="en-AU"/>
              </w:rPr>
              <w:t>, tutorials, case discussion with supervisors or self-study etc</w:t>
            </w:r>
            <w:r w:rsidR="003D0226" w:rsidRPr="00D40486">
              <w:rPr>
                <w:color w:val="000000" w:themeColor="text1"/>
                <w:lang w:val="en-AU"/>
              </w:rPr>
              <w:t>.</w:t>
            </w:r>
          </w:p>
          <w:p w14:paraId="2BD3D387" w14:textId="15A4DCE9" w:rsidR="0045139A" w:rsidRPr="00D40486" w:rsidRDefault="0045139A" w:rsidP="0045139A">
            <w:pPr>
              <w:spacing w:before="120" w:after="120"/>
              <w:rPr>
                <w:color w:val="000000" w:themeColor="text1"/>
                <w:lang w:val="en-AU"/>
              </w:rPr>
            </w:pPr>
            <w:r w:rsidRPr="00D40486">
              <w:rPr>
                <w:color w:val="000000" w:themeColor="text1"/>
                <w:lang w:val="en-AU"/>
              </w:rPr>
              <w:t>However, each facility should be allowed the flexibility to develop their own program that works for their trainees. This would prevent situations where smaller or larger facilities are having to fit a model that doesn’t suit their context.</w:t>
            </w:r>
          </w:p>
          <w:p w14:paraId="7ACAF97C" w14:textId="2D3E338F" w:rsidR="004C321B" w:rsidRPr="00D40486" w:rsidRDefault="003F6A34" w:rsidP="00EF73E8">
            <w:pPr>
              <w:spacing w:before="120" w:after="120"/>
              <w:rPr>
                <w:color w:val="000000" w:themeColor="text1"/>
                <w:lang w:val="en-AU"/>
              </w:rPr>
            </w:pPr>
            <w:r w:rsidRPr="00D40486">
              <w:rPr>
                <w:color w:val="000000" w:themeColor="text1"/>
                <w:lang w:val="en-AU"/>
              </w:rPr>
              <w:t xml:space="preserve">A definition of ‘unstructured learning’ by AMC would also be beneficial. </w:t>
            </w:r>
            <w:r w:rsidR="00BC59DA" w:rsidRPr="00BC59DA">
              <w:rPr>
                <w:color w:val="000000" w:themeColor="text1"/>
                <w:lang w:val="en-AU"/>
              </w:rPr>
              <w:t>In general</w:t>
            </w:r>
            <w:r w:rsidR="006A4D4F">
              <w:rPr>
                <w:color w:val="000000" w:themeColor="text1"/>
                <w:lang w:val="en-AU"/>
              </w:rPr>
              <w:t>,</w:t>
            </w:r>
            <w:r w:rsidR="00BC59DA" w:rsidRPr="00BC59DA">
              <w:rPr>
                <w:color w:val="000000" w:themeColor="text1"/>
                <w:lang w:val="en-AU"/>
              </w:rPr>
              <w:t xml:space="preserve"> medical training is considered structured or otherwise it is not acceptable towards training and acquisition of the fellowship or anything else.</w:t>
            </w:r>
          </w:p>
          <w:p w14:paraId="44B42F8E" w14:textId="56676702" w:rsidR="00B27B52" w:rsidRPr="00D40486" w:rsidRDefault="585130D3" w:rsidP="00EF73E8">
            <w:pPr>
              <w:spacing w:before="120" w:after="120"/>
              <w:rPr>
                <w:color w:val="000000" w:themeColor="text1"/>
                <w:lang w:val="en-AU"/>
              </w:rPr>
            </w:pPr>
            <w:r w:rsidRPr="380A6D6B">
              <w:rPr>
                <w:color w:val="000000" w:themeColor="text1"/>
                <w:lang w:val="en-AU"/>
              </w:rPr>
              <w:t>In terms of a r</w:t>
            </w:r>
            <w:r w:rsidR="289F1FCA" w:rsidRPr="380A6D6B">
              <w:rPr>
                <w:color w:val="000000" w:themeColor="text1"/>
                <w:lang w:val="en-AU"/>
              </w:rPr>
              <w:t>esearch project</w:t>
            </w:r>
            <w:r w:rsidRPr="380A6D6B">
              <w:rPr>
                <w:color w:val="000000" w:themeColor="text1"/>
                <w:lang w:val="en-AU"/>
              </w:rPr>
              <w:t xml:space="preserve"> - it</w:t>
            </w:r>
            <w:r w:rsidR="289F1FCA" w:rsidRPr="380A6D6B">
              <w:rPr>
                <w:color w:val="000000" w:themeColor="text1"/>
                <w:lang w:val="en-AU"/>
              </w:rPr>
              <w:t xml:space="preserve"> does not impact </w:t>
            </w:r>
            <w:r w:rsidR="5F50669C" w:rsidRPr="380A6D6B">
              <w:rPr>
                <w:color w:val="000000" w:themeColor="text1"/>
                <w:lang w:val="en-AU"/>
              </w:rPr>
              <w:t xml:space="preserve">the </w:t>
            </w:r>
            <w:r w:rsidR="289F1FCA" w:rsidRPr="380A6D6B">
              <w:rPr>
                <w:color w:val="000000" w:themeColor="text1"/>
                <w:lang w:val="en-AU"/>
              </w:rPr>
              <w:t>quality of training and not necessarily make you a better clinician, with some challenges in every hospital, sometimes it takes even 6 m</w:t>
            </w:r>
            <w:r w:rsidRPr="380A6D6B">
              <w:rPr>
                <w:color w:val="000000" w:themeColor="text1"/>
                <w:lang w:val="en-AU"/>
              </w:rPr>
              <w:t>onths</w:t>
            </w:r>
            <w:r w:rsidR="289F1FCA" w:rsidRPr="380A6D6B">
              <w:rPr>
                <w:color w:val="000000" w:themeColor="text1"/>
                <w:lang w:val="en-AU"/>
              </w:rPr>
              <w:t xml:space="preserve"> to get approval for simple research or even an audit, that will increase unnecessary stress and time-pressure which impact clinical training. </w:t>
            </w:r>
          </w:p>
        </w:tc>
      </w:tr>
      <w:tr w:rsidR="005571A5" w:rsidRPr="00495C2B" w14:paraId="658F5BB9" w14:textId="77777777" w:rsidTr="6AA2306C">
        <w:trPr>
          <w:trHeight w:val="58"/>
        </w:trPr>
        <w:tc>
          <w:tcPr>
            <w:tcW w:w="9634" w:type="dxa"/>
            <w:shd w:val="clear" w:color="auto" w:fill="D7EEF2" w:themeFill="accent3" w:themeFillTint="33"/>
            <w:vAlign w:val="center"/>
          </w:tcPr>
          <w:p w14:paraId="12F593C9" w14:textId="77777777" w:rsidR="005571A5" w:rsidRPr="00495C2B" w:rsidRDefault="005571A5" w:rsidP="005571A5">
            <w:pPr>
              <w:spacing w:before="120" w:after="120"/>
              <w:jc w:val="both"/>
              <w:rPr>
                <w:rFonts w:ascii="Calibri" w:hAnsi="Calibri" w:cs="Calibri"/>
                <w:lang w:val="en-AU" w:eastAsia="en-AU"/>
              </w:rPr>
            </w:pPr>
            <w:r w:rsidRPr="00495C2B">
              <w:rPr>
                <w:rFonts w:ascii="Calibri" w:hAnsi="Calibri" w:cs="Calibri"/>
                <w:lang w:val="en-AU" w:eastAsia="en-AU"/>
              </w:rPr>
              <w:t xml:space="preserve">Criterion 4.2.1 provides for clinical or other equipment needed for trainees to achieve the training program outcomes. </w:t>
            </w:r>
          </w:p>
          <w:p w14:paraId="32691071" w14:textId="582402DA" w:rsidR="005571A5" w:rsidRPr="00495C2B" w:rsidRDefault="005571A5" w:rsidP="005571A5">
            <w:pPr>
              <w:spacing w:before="120" w:after="120"/>
              <w:jc w:val="both"/>
              <w:rPr>
                <w:rFonts w:ascii="Calibri" w:hAnsi="Calibri" w:cs="Calibri"/>
                <w:lang w:val="en-AU" w:eastAsia="en-AU"/>
              </w:rPr>
            </w:pPr>
            <w:r w:rsidRPr="00495C2B">
              <w:rPr>
                <w:rFonts w:ascii="Calibri" w:hAnsi="Calibri" w:cs="Calibri"/>
                <w:b/>
                <w:bCs/>
                <w:lang w:val="en-AU" w:eastAsia="en-AU"/>
              </w:rPr>
              <w:lastRenderedPageBreak/>
              <w:t>For colleges:</w:t>
            </w:r>
            <w:r w:rsidRPr="00495C2B">
              <w:rPr>
                <w:rFonts w:ascii="Calibri" w:hAnsi="Calibri" w:cs="Calibri"/>
                <w:lang w:val="en-AU" w:eastAsia="en-AU"/>
              </w:rPr>
              <w:t xml:space="preserve"> Would it be necessary to include specific requirements to assess this criterion, such as a list of specialist equipment?</w:t>
            </w:r>
          </w:p>
          <w:p w14:paraId="06BEECCE" w14:textId="6F3B19A2" w:rsidR="005571A5" w:rsidRPr="00495C2B" w:rsidRDefault="005571A5" w:rsidP="005571A5">
            <w:pPr>
              <w:spacing w:before="120" w:after="120"/>
              <w:rPr>
                <w:lang w:val="en-AU"/>
              </w:rPr>
            </w:pPr>
            <w:r w:rsidRPr="00495C2B">
              <w:rPr>
                <w:b/>
                <w:bCs/>
                <w:lang w:val="en-AU"/>
              </w:rPr>
              <w:t>For health services</w:t>
            </w:r>
            <w:r w:rsidRPr="00495C2B">
              <w:rPr>
                <w:rFonts w:ascii="Calibri" w:hAnsi="Calibri" w:cs="Calibri"/>
                <w:b/>
                <w:bCs/>
                <w:lang w:val="en-AU"/>
              </w:rPr>
              <w:t>:</w:t>
            </w:r>
            <w:r w:rsidRPr="00495C2B">
              <w:rPr>
                <w:rFonts w:ascii="Calibri" w:hAnsi="Calibri" w:cs="Calibri"/>
                <w:lang w:val="en-AU"/>
              </w:rPr>
              <w:t xml:space="preserve"> What should be considered in developing college-specific requirements for this criterion?</w:t>
            </w:r>
          </w:p>
        </w:tc>
      </w:tr>
      <w:tr w:rsidR="005571A5" w:rsidRPr="00495C2B" w14:paraId="2CCB7E37" w14:textId="77777777" w:rsidTr="6AA2306C">
        <w:trPr>
          <w:trHeight w:val="60"/>
        </w:trPr>
        <w:tc>
          <w:tcPr>
            <w:tcW w:w="9634" w:type="dxa"/>
            <w:shd w:val="clear" w:color="auto" w:fill="auto"/>
            <w:vAlign w:val="center"/>
          </w:tcPr>
          <w:p w14:paraId="05A1A716" w14:textId="5E813C55" w:rsidR="008E5E6C" w:rsidRPr="00407A79" w:rsidRDefault="008E5E6C" w:rsidP="007301D2">
            <w:pPr>
              <w:spacing w:before="120" w:after="120"/>
              <w:rPr>
                <w:color w:val="000000" w:themeColor="text1"/>
                <w:lang w:val="en-AU"/>
              </w:rPr>
            </w:pPr>
            <w:r w:rsidRPr="380A6D6B">
              <w:rPr>
                <w:color w:val="000000" w:themeColor="text1"/>
                <w:lang w:val="en-AU"/>
              </w:rPr>
              <w:lastRenderedPageBreak/>
              <w:t xml:space="preserve">Support expanding criteria to include clinical environment in which </w:t>
            </w:r>
            <w:r w:rsidR="45BDB41E" w:rsidRPr="380A6D6B">
              <w:rPr>
                <w:color w:val="000000" w:themeColor="text1"/>
                <w:lang w:val="en-AU"/>
              </w:rPr>
              <w:t xml:space="preserve">the </w:t>
            </w:r>
            <w:r w:rsidRPr="380A6D6B">
              <w:rPr>
                <w:color w:val="000000" w:themeColor="text1"/>
                <w:lang w:val="en-AU"/>
              </w:rPr>
              <w:t xml:space="preserve">trainee practises to be compliant with standards e.g. adequate staffing, equipment, and institutional facilities and processes to support safe and quality patient care - including pre-assessment, theatre, </w:t>
            </w:r>
            <w:r w:rsidR="006E3941" w:rsidRPr="380A6D6B">
              <w:rPr>
                <w:color w:val="000000" w:themeColor="text1"/>
                <w:lang w:val="en-AU"/>
              </w:rPr>
              <w:t>post anaesthesia care unit (</w:t>
            </w:r>
            <w:r w:rsidRPr="380A6D6B">
              <w:rPr>
                <w:color w:val="000000" w:themeColor="text1"/>
                <w:lang w:val="en-AU"/>
              </w:rPr>
              <w:t>PACU</w:t>
            </w:r>
            <w:r w:rsidR="006E3941" w:rsidRPr="380A6D6B">
              <w:rPr>
                <w:color w:val="000000" w:themeColor="text1"/>
                <w:lang w:val="en-AU"/>
              </w:rPr>
              <w:t>)</w:t>
            </w:r>
            <w:r w:rsidRPr="380A6D6B">
              <w:rPr>
                <w:color w:val="000000" w:themeColor="text1"/>
                <w:lang w:val="en-AU"/>
              </w:rPr>
              <w:t xml:space="preserve"> and </w:t>
            </w:r>
            <w:r w:rsidR="00133D37" w:rsidRPr="380A6D6B">
              <w:rPr>
                <w:color w:val="000000" w:themeColor="text1"/>
                <w:lang w:val="en-AU"/>
              </w:rPr>
              <w:t>Acute Pain Management Service (</w:t>
            </w:r>
            <w:r w:rsidRPr="380A6D6B">
              <w:rPr>
                <w:color w:val="000000" w:themeColor="text1"/>
                <w:lang w:val="en-AU"/>
              </w:rPr>
              <w:t>APMS</w:t>
            </w:r>
            <w:r w:rsidR="00133D37" w:rsidRPr="380A6D6B">
              <w:rPr>
                <w:color w:val="000000" w:themeColor="text1"/>
                <w:lang w:val="en-AU"/>
              </w:rPr>
              <w:t>)</w:t>
            </w:r>
            <w:r w:rsidRPr="380A6D6B">
              <w:rPr>
                <w:color w:val="000000" w:themeColor="text1"/>
                <w:lang w:val="en-AU"/>
              </w:rPr>
              <w:t>.</w:t>
            </w:r>
          </w:p>
          <w:p w14:paraId="2DB865DF" w14:textId="05FB8CE8" w:rsidR="007301D2" w:rsidRPr="00407A79" w:rsidRDefault="007301D2" w:rsidP="007301D2">
            <w:pPr>
              <w:spacing w:before="120" w:after="120"/>
              <w:rPr>
                <w:color w:val="000000" w:themeColor="text1"/>
                <w:lang w:val="en-AU"/>
              </w:rPr>
            </w:pPr>
            <w:r w:rsidRPr="00407A79">
              <w:rPr>
                <w:color w:val="000000" w:themeColor="text1"/>
                <w:lang w:val="en-AU"/>
              </w:rPr>
              <w:t>Items</w:t>
            </w:r>
            <w:r w:rsidR="00407A79" w:rsidRPr="00407A79">
              <w:rPr>
                <w:color w:val="000000" w:themeColor="text1"/>
                <w:lang w:val="en-AU"/>
              </w:rPr>
              <w:t>/examples</w:t>
            </w:r>
            <w:r w:rsidR="009F3C87" w:rsidRPr="00407A79">
              <w:rPr>
                <w:color w:val="000000" w:themeColor="text1"/>
                <w:lang w:val="en-AU"/>
              </w:rPr>
              <w:t xml:space="preserve"> for consideration</w:t>
            </w:r>
            <w:r w:rsidRPr="00407A79">
              <w:rPr>
                <w:color w:val="000000" w:themeColor="text1"/>
                <w:lang w:val="en-AU"/>
              </w:rPr>
              <w:t>:</w:t>
            </w:r>
          </w:p>
          <w:p w14:paraId="5BADEA42" w14:textId="77777777" w:rsidR="00407A79" w:rsidRPr="00407A79" w:rsidRDefault="007301D2" w:rsidP="007301D2">
            <w:pPr>
              <w:pStyle w:val="ListParagraph"/>
              <w:numPr>
                <w:ilvl w:val="0"/>
                <w:numId w:val="14"/>
              </w:numPr>
              <w:spacing w:before="120"/>
              <w:rPr>
                <w:color w:val="000000" w:themeColor="text1"/>
                <w:lang w:val="en-AU"/>
              </w:rPr>
            </w:pPr>
            <w:r w:rsidRPr="00407A79">
              <w:rPr>
                <w:color w:val="000000" w:themeColor="text1"/>
                <w:lang w:val="en-AU"/>
              </w:rPr>
              <w:t>Items such as simulation may penalise smaller teaching facilities that may struggle to afford more expensive equipment. From the perspective of clinical experience, a teaching hospital should have a minimum standard of equipment for the different specialised areas where trainees practice. This equipment would be varied for different specialties, so could not be captured in this document.</w:t>
            </w:r>
          </w:p>
          <w:p w14:paraId="18B9D921" w14:textId="6D7BD525" w:rsidR="00A852D0" w:rsidRPr="00407A79" w:rsidRDefault="00407A79" w:rsidP="007301D2">
            <w:pPr>
              <w:pStyle w:val="ListParagraph"/>
              <w:numPr>
                <w:ilvl w:val="0"/>
                <w:numId w:val="14"/>
              </w:numPr>
              <w:spacing w:before="120"/>
              <w:rPr>
                <w:lang w:val="en-AU"/>
              </w:rPr>
            </w:pPr>
            <w:r w:rsidRPr="00407A79">
              <w:rPr>
                <w:color w:val="000000" w:themeColor="text1"/>
                <w:lang w:val="en-AU"/>
              </w:rPr>
              <w:t>Should a</w:t>
            </w:r>
            <w:r w:rsidR="009F3C87" w:rsidRPr="00407A79">
              <w:rPr>
                <w:color w:val="000000" w:themeColor="text1"/>
                <w:lang w:val="en-AU"/>
              </w:rPr>
              <w:t xml:space="preserve">ll trainees have access to </w:t>
            </w:r>
            <w:r w:rsidRPr="00407A79">
              <w:rPr>
                <w:color w:val="000000" w:themeColor="text1"/>
                <w:lang w:val="en-AU"/>
              </w:rPr>
              <w:t>ultrasound</w:t>
            </w:r>
            <w:r w:rsidR="009F3C87" w:rsidRPr="00407A79">
              <w:rPr>
                <w:color w:val="000000" w:themeColor="text1"/>
                <w:lang w:val="en-AU"/>
              </w:rPr>
              <w:t xml:space="preserve"> guided Intravascular Access or advanced airway equipment</w:t>
            </w:r>
            <w:r w:rsidR="00C07586" w:rsidRPr="00407A79">
              <w:rPr>
                <w:color w:val="000000" w:themeColor="text1"/>
                <w:lang w:val="en-AU"/>
              </w:rPr>
              <w:t>?</w:t>
            </w:r>
          </w:p>
        </w:tc>
      </w:tr>
      <w:tr w:rsidR="005571A5" w:rsidRPr="00495C2B" w14:paraId="7E793D12" w14:textId="77777777" w:rsidTr="6AA2306C">
        <w:tc>
          <w:tcPr>
            <w:tcW w:w="9634" w:type="dxa"/>
            <w:shd w:val="clear" w:color="auto" w:fill="D7EEF2" w:themeFill="accent3" w:themeFillTint="33"/>
            <w:vAlign w:val="center"/>
          </w:tcPr>
          <w:p w14:paraId="2494E09A" w14:textId="515C0974" w:rsidR="005571A5" w:rsidRPr="00495C2B" w:rsidRDefault="005571A5" w:rsidP="005571A5">
            <w:pPr>
              <w:spacing w:before="120" w:after="120"/>
              <w:rPr>
                <w:b/>
                <w:lang w:val="en-AU"/>
              </w:rPr>
            </w:pPr>
            <w:r w:rsidRPr="00495C2B">
              <w:rPr>
                <w:bCs/>
                <w:lang w:val="en-AU"/>
              </w:rPr>
              <w:t>Are there any other college-specific requirements that are necessary in relation to other criteria and what should be considered in developing these?</w:t>
            </w:r>
          </w:p>
        </w:tc>
      </w:tr>
      <w:tr w:rsidR="00051E76" w:rsidRPr="00051E76" w14:paraId="0980E7B3" w14:textId="77777777" w:rsidTr="6AA2306C">
        <w:trPr>
          <w:trHeight w:val="60"/>
        </w:trPr>
        <w:tc>
          <w:tcPr>
            <w:tcW w:w="9634" w:type="dxa"/>
            <w:shd w:val="clear" w:color="auto" w:fill="auto"/>
            <w:vAlign w:val="center"/>
          </w:tcPr>
          <w:p w14:paraId="1B177693" w14:textId="77777777" w:rsidR="003C6667" w:rsidRPr="00051E76" w:rsidRDefault="003C6667" w:rsidP="00C47F02">
            <w:pPr>
              <w:spacing w:before="120" w:after="120"/>
              <w:rPr>
                <w:color w:val="000000" w:themeColor="text1"/>
                <w:lang w:val="en-AU"/>
              </w:rPr>
            </w:pPr>
            <w:r w:rsidRPr="00051E76">
              <w:rPr>
                <w:color w:val="000000" w:themeColor="text1"/>
                <w:lang w:val="en-AU"/>
              </w:rPr>
              <w:t xml:space="preserve">The FPM would have specific requirements to ensure training was taking place within multidisciplinary teams with integrated processes and practice within a </w:t>
            </w:r>
            <w:proofErr w:type="spellStart"/>
            <w:r w:rsidRPr="00051E76">
              <w:rPr>
                <w:color w:val="000000" w:themeColor="text1"/>
                <w:lang w:val="en-AU"/>
              </w:rPr>
              <w:t>sociopsychobiomedical</w:t>
            </w:r>
            <w:proofErr w:type="spellEnd"/>
            <w:r w:rsidRPr="00051E76">
              <w:rPr>
                <w:color w:val="000000" w:themeColor="text1"/>
                <w:lang w:val="en-AU"/>
              </w:rPr>
              <w:t xml:space="preserve"> framework. This includes specific requirements relating to:</w:t>
            </w:r>
          </w:p>
          <w:p w14:paraId="28C06E5E" w14:textId="77777777" w:rsidR="003C6667" w:rsidRPr="00051E76" w:rsidRDefault="003C6667" w:rsidP="00C47F02">
            <w:pPr>
              <w:pStyle w:val="ListParagraph"/>
              <w:numPr>
                <w:ilvl w:val="0"/>
                <w:numId w:val="12"/>
              </w:numPr>
              <w:spacing w:before="120"/>
              <w:rPr>
                <w:color w:val="000000" w:themeColor="text1"/>
                <w:lang w:val="en-AU"/>
              </w:rPr>
            </w:pPr>
            <w:r w:rsidRPr="00051E76">
              <w:rPr>
                <w:color w:val="000000" w:themeColor="text1"/>
                <w:lang w:val="en-AU"/>
              </w:rPr>
              <w:t xml:space="preserve">FTE of special pain medicine physicians, allied health, other medical specialists and dedicated administrative staff for the unit. </w:t>
            </w:r>
          </w:p>
          <w:p w14:paraId="578E4192" w14:textId="3F42D826" w:rsidR="00BE6C12" w:rsidRPr="00051E76" w:rsidRDefault="003C6667" w:rsidP="00BE6C12">
            <w:pPr>
              <w:pStyle w:val="ListParagraph"/>
              <w:numPr>
                <w:ilvl w:val="0"/>
                <w:numId w:val="12"/>
              </w:numPr>
              <w:spacing w:before="120"/>
              <w:rPr>
                <w:color w:val="000000" w:themeColor="text1"/>
                <w:lang w:val="en-AU"/>
              </w:rPr>
            </w:pPr>
            <w:r w:rsidRPr="00051E76">
              <w:rPr>
                <w:color w:val="000000" w:themeColor="text1"/>
                <w:lang w:val="en-AU"/>
              </w:rPr>
              <w:t>Access to sessions of related disciplines</w:t>
            </w:r>
            <w:r w:rsidR="000B391C" w:rsidRPr="00051E76">
              <w:rPr>
                <w:color w:val="000000" w:themeColor="text1"/>
                <w:lang w:val="en-AU"/>
              </w:rPr>
              <w:t>.</w:t>
            </w:r>
          </w:p>
          <w:p w14:paraId="7516D6CC" w14:textId="77777777" w:rsidR="009D7841" w:rsidRDefault="00051E76" w:rsidP="009D7841">
            <w:pPr>
              <w:pStyle w:val="ListParagraph"/>
              <w:numPr>
                <w:ilvl w:val="0"/>
                <w:numId w:val="12"/>
              </w:numPr>
              <w:spacing w:before="120"/>
              <w:rPr>
                <w:color w:val="000000" w:themeColor="text1"/>
                <w:lang w:val="en-AU"/>
              </w:rPr>
            </w:pPr>
            <w:r w:rsidRPr="00051E76">
              <w:rPr>
                <w:color w:val="000000" w:themeColor="text1"/>
                <w:lang w:val="en-AU"/>
              </w:rPr>
              <w:t xml:space="preserve">It would be beneficial to have specific direction </w:t>
            </w:r>
            <w:proofErr w:type="gramStart"/>
            <w:r w:rsidRPr="00051E76">
              <w:rPr>
                <w:color w:val="000000" w:themeColor="text1"/>
                <w:lang w:val="en-AU"/>
              </w:rPr>
              <w:t>in regard to</w:t>
            </w:r>
            <w:proofErr w:type="gramEnd"/>
            <w:r w:rsidRPr="00051E76">
              <w:rPr>
                <w:color w:val="000000" w:themeColor="text1"/>
                <w:lang w:val="en-AU"/>
              </w:rPr>
              <w:t xml:space="preserve"> rotation, for example for our college how many hours/sessions per week is required for acute pain.</w:t>
            </w:r>
          </w:p>
          <w:p w14:paraId="03953785" w14:textId="0A0175F4" w:rsidR="00445960" w:rsidRPr="009D7841" w:rsidRDefault="3E5477E9" w:rsidP="009D7841">
            <w:pPr>
              <w:pStyle w:val="ListParagraph"/>
              <w:numPr>
                <w:ilvl w:val="0"/>
                <w:numId w:val="12"/>
              </w:numPr>
              <w:spacing w:before="120"/>
              <w:rPr>
                <w:color w:val="000000" w:themeColor="text1"/>
                <w:lang w:val="en-AU"/>
              </w:rPr>
            </w:pPr>
            <w:r w:rsidRPr="009D7841">
              <w:rPr>
                <w:color w:val="000000" w:themeColor="text1"/>
                <w:lang w:val="en-AU"/>
              </w:rPr>
              <w:t>Supervisor training time. Trainees require training and whilst this statement might seem to be an anachronism, training requires time. With increasing adoption of competency-based training in medical education, supervisors must have adequate time allocation to provide this (and it should be paid time and not time that specialists must find in amongst all the other competing requirements for time that currently go</w:t>
            </w:r>
            <w:r w:rsidR="04E56CD8" w:rsidRPr="009D7841">
              <w:rPr>
                <w:color w:val="000000" w:themeColor="text1"/>
                <w:lang w:val="en-AU"/>
              </w:rPr>
              <w:t>es</w:t>
            </w:r>
            <w:r w:rsidRPr="009D7841">
              <w:rPr>
                <w:color w:val="000000" w:themeColor="text1"/>
                <w:lang w:val="en-AU"/>
              </w:rPr>
              <w:t xml:space="preserve"> unpaid).</w:t>
            </w:r>
          </w:p>
          <w:p w14:paraId="3D12CB09" w14:textId="0149D973" w:rsidR="00702AC9" w:rsidRPr="00051E76" w:rsidRDefault="00193246" w:rsidP="00BE6C12">
            <w:pPr>
              <w:pStyle w:val="ListParagraph"/>
              <w:numPr>
                <w:ilvl w:val="0"/>
                <w:numId w:val="12"/>
              </w:numPr>
              <w:spacing w:before="120"/>
              <w:rPr>
                <w:color w:val="000000" w:themeColor="text1"/>
                <w:lang w:val="en-AU"/>
              </w:rPr>
            </w:pPr>
            <w:r w:rsidRPr="00051E76">
              <w:rPr>
                <w:color w:val="000000" w:themeColor="text1"/>
                <w:lang w:val="en-AU"/>
              </w:rPr>
              <w:t xml:space="preserve">Appropriate case-mix. </w:t>
            </w:r>
            <w:r w:rsidR="00702AC9" w:rsidRPr="00051E76">
              <w:rPr>
                <w:color w:val="000000" w:themeColor="text1"/>
                <w:lang w:val="en-AU"/>
              </w:rPr>
              <w:t xml:space="preserve">Trainees need to provide service to their organisations, but that service should have incorporated within </w:t>
            </w:r>
            <w:proofErr w:type="gramStart"/>
            <w:r w:rsidR="00702AC9" w:rsidRPr="00051E76">
              <w:rPr>
                <w:color w:val="000000" w:themeColor="text1"/>
                <w:lang w:val="en-AU"/>
              </w:rPr>
              <w:t>it</w:t>
            </w:r>
            <w:proofErr w:type="gramEnd"/>
            <w:r w:rsidR="00702AC9" w:rsidRPr="00051E76">
              <w:rPr>
                <w:color w:val="000000" w:themeColor="text1"/>
                <w:lang w:val="en-AU"/>
              </w:rPr>
              <w:t xml:space="preserve"> activities that resemble the work that will be performed in an ‘authentic’ environment as a specialist i.e. they require the appropriate case-mix and opportunities for increasing independence as deemed appropriate by demonstration of competence to their supervisors. They should not be seen cynically as a cheap form of specialist input.</w:t>
            </w:r>
          </w:p>
          <w:p w14:paraId="17AAAB78" w14:textId="36B44E74" w:rsidR="004B7D33" w:rsidRPr="00051E76" w:rsidRDefault="00702AC9" w:rsidP="00051E76">
            <w:pPr>
              <w:pStyle w:val="ListParagraph"/>
              <w:numPr>
                <w:ilvl w:val="0"/>
                <w:numId w:val="12"/>
              </w:numPr>
              <w:spacing w:before="120" w:after="120"/>
              <w:rPr>
                <w:color w:val="000000" w:themeColor="text1"/>
                <w:lang w:val="en-AU"/>
              </w:rPr>
            </w:pPr>
            <w:r w:rsidRPr="00051E76">
              <w:rPr>
                <w:color w:val="000000" w:themeColor="text1"/>
                <w:lang w:val="en-AU"/>
              </w:rPr>
              <w:t>Training in rural and remote regions requires additional equipment (we already know that these areas are the ones that most commonly have poorer IT connectivity) and appropriate (safe) housing etc provided by the training provider. Good experiences in these areas help to retain trainees following qualification.</w:t>
            </w:r>
          </w:p>
        </w:tc>
      </w:tr>
      <w:tr w:rsidR="005571A5" w:rsidRPr="00495C2B" w14:paraId="6BC314F5" w14:textId="77777777" w:rsidTr="6AA2306C">
        <w:tc>
          <w:tcPr>
            <w:tcW w:w="9634" w:type="dxa"/>
            <w:shd w:val="clear" w:color="auto" w:fill="2D7E8E" w:themeFill="accent3" w:themeFillShade="BF"/>
            <w:vAlign w:val="center"/>
          </w:tcPr>
          <w:p w14:paraId="2AE9F0AE" w14:textId="7414FFB3" w:rsidR="005571A5" w:rsidRPr="00495C2B" w:rsidRDefault="005571A5" w:rsidP="005571A5">
            <w:pPr>
              <w:spacing w:before="120" w:after="120"/>
              <w:rPr>
                <w:b/>
                <w:color w:val="F2F2F2" w:themeColor="background1" w:themeShade="F2"/>
                <w:lang w:val="en-AU"/>
              </w:rPr>
            </w:pPr>
            <w:r w:rsidRPr="00495C2B">
              <w:rPr>
                <w:b/>
                <w:color w:val="F2F2F2" w:themeColor="background1" w:themeShade="F2"/>
                <w:lang w:val="en-AU"/>
              </w:rPr>
              <w:t>Feedback regarding implementation</w:t>
            </w:r>
          </w:p>
        </w:tc>
      </w:tr>
      <w:tr w:rsidR="005571A5" w:rsidRPr="00495C2B" w14:paraId="3AC3DBBF" w14:textId="77777777" w:rsidTr="6AA2306C">
        <w:trPr>
          <w:trHeight w:val="841"/>
        </w:trPr>
        <w:tc>
          <w:tcPr>
            <w:tcW w:w="9634" w:type="dxa"/>
            <w:shd w:val="clear" w:color="auto" w:fill="D7EEF2" w:themeFill="accent3" w:themeFillTint="33"/>
            <w:vAlign w:val="center"/>
          </w:tcPr>
          <w:p w14:paraId="081C2BF7" w14:textId="77777777" w:rsidR="005571A5" w:rsidRPr="00495C2B" w:rsidRDefault="005571A5" w:rsidP="005571A5">
            <w:pPr>
              <w:spacing w:before="120" w:after="120"/>
              <w:rPr>
                <w:rFonts w:ascii="Calibri" w:hAnsi="Calibri" w:cs="Calibri"/>
                <w:lang w:val="en-AU"/>
              </w:rPr>
            </w:pPr>
            <w:r w:rsidRPr="00495C2B">
              <w:rPr>
                <w:rFonts w:cstheme="minorHAnsi"/>
                <w:b/>
                <w:bCs/>
                <w:lang w:val="en-AU"/>
              </w:rPr>
              <w:t>For colleges:</w:t>
            </w:r>
            <w:r w:rsidRPr="00495C2B">
              <w:rPr>
                <w:rFonts w:cstheme="minorHAnsi"/>
                <w:lang w:val="en-AU"/>
              </w:rPr>
              <w:t xml:space="preserve"> What is a reasonable timeframe for adoption of the model standards by your college and why</w:t>
            </w:r>
            <w:r w:rsidRPr="00495C2B">
              <w:rPr>
                <w:rFonts w:ascii="Calibri" w:hAnsi="Calibri" w:cs="Calibri"/>
                <w:lang w:val="en-AU"/>
              </w:rPr>
              <w:t xml:space="preserve">? </w:t>
            </w:r>
          </w:p>
          <w:p w14:paraId="1E0B8396" w14:textId="473CF1FC" w:rsidR="005571A5" w:rsidRPr="00495C2B" w:rsidRDefault="005571A5" w:rsidP="005571A5">
            <w:pPr>
              <w:spacing w:before="120" w:after="120"/>
              <w:rPr>
                <w:rFonts w:cstheme="minorHAnsi"/>
                <w:lang w:val="en-AU"/>
              </w:rPr>
            </w:pPr>
            <w:r w:rsidRPr="00495C2B">
              <w:rPr>
                <w:rFonts w:ascii="Calibri" w:hAnsi="Calibri" w:cs="Calibri"/>
                <w:lang w:val="en-AU"/>
              </w:rPr>
              <w:t xml:space="preserve">What would assist your college to adopt the model standards in a </w:t>
            </w:r>
            <w:proofErr w:type="gramStart"/>
            <w:r w:rsidRPr="00495C2B">
              <w:rPr>
                <w:rFonts w:ascii="Calibri" w:hAnsi="Calibri" w:cs="Calibri"/>
                <w:lang w:val="en-AU"/>
              </w:rPr>
              <w:t>more timely</w:t>
            </w:r>
            <w:proofErr w:type="gramEnd"/>
            <w:r w:rsidRPr="00495C2B">
              <w:rPr>
                <w:rFonts w:ascii="Calibri" w:hAnsi="Calibri" w:cs="Calibri"/>
                <w:lang w:val="en-AU"/>
              </w:rPr>
              <w:t xml:space="preserve"> manner (for example, shared training, shared resources etc.)?</w:t>
            </w:r>
          </w:p>
        </w:tc>
      </w:tr>
      <w:tr w:rsidR="005571A5" w:rsidRPr="00495C2B" w14:paraId="429B0A5B" w14:textId="77777777" w:rsidTr="6AA2306C">
        <w:trPr>
          <w:trHeight w:val="60"/>
        </w:trPr>
        <w:tc>
          <w:tcPr>
            <w:tcW w:w="9634" w:type="dxa"/>
            <w:shd w:val="clear" w:color="auto" w:fill="auto"/>
            <w:vAlign w:val="center"/>
          </w:tcPr>
          <w:p w14:paraId="3AD472C9" w14:textId="545841FA" w:rsidR="00273CCE" w:rsidRDefault="1EB330F2" w:rsidP="00107950">
            <w:pPr>
              <w:spacing w:before="120" w:after="120"/>
              <w:rPr>
                <w:lang w:val="en-AU"/>
              </w:rPr>
            </w:pPr>
            <w:r w:rsidRPr="6AA2306C">
              <w:rPr>
                <w:lang w:val="en-AU"/>
              </w:rPr>
              <w:lastRenderedPageBreak/>
              <w:t xml:space="preserve">ANZCA does </w:t>
            </w:r>
            <w:r w:rsidR="57829799" w:rsidRPr="6AA2306C">
              <w:rPr>
                <w:lang w:val="en-AU"/>
              </w:rPr>
              <w:t>most of this already</w:t>
            </w:r>
            <w:r w:rsidR="4C2D5C49" w:rsidRPr="6AA2306C">
              <w:rPr>
                <w:lang w:val="en-AU"/>
              </w:rPr>
              <w:t>, however s</w:t>
            </w:r>
            <w:r w:rsidR="63921CB9" w:rsidRPr="6AA2306C">
              <w:rPr>
                <w:lang w:val="en-AU"/>
              </w:rPr>
              <w:t xml:space="preserve">ignificant changes in policy and process are introduced prior to the commencement of the academic year. </w:t>
            </w:r>
            <w:r w:rsidR="65F31D57" w:rsidRPr="6AA2306C">
              <w:rPr>
                <w:lang w:val="en-AU"/>
              </w:rPr>
              <w:t>There</w:t>
            </w:r>
            <w:r w:rsidR="65F31D57">
              <w:t>fore,</w:t>
            </w:r>
            <w:r w:rsidR="4C2D5C49" w:rsidRPr="6AA2306C">
              <w:rPr>
                <w:lang w:val="en-AU"/>
              </w:rPr>
              <w:t xml:space="preserve"> t</w:t>
            </w:r>
            <w:r w:rsidR="63921CB9" w:rsidRPr="6AA2306C">
              <w:rPr>
                <w:lang w:val="en-AU"/>
              </w:rPr>
              <w:t>he earliest the model standards could be introduced is 2026. This will be contingent of availability of resourcing within the college to progress this work and a streamlined approval process</w:t>
            </w:r>
            <w:r w:rsidR="54F7516B" w:rsidRPr="6AA2306C">
              <w:rPr>
                <w:lang w:val="en-AU"/>
              </w:rPr>
              <w:t>, especially recognising the significant burden being placed on colleges with a significant reform, consultation and intellectual property input expected from colleges.</w:t>
            </w:r>
            <w:r w:rsidR="63921CB9" w:rsidRPr="6AA2306C">
              <w:rPr>
                <w:lang w:val="en-AU"/>
              </w:rPr>
              <w:t xml:space="preserve"> </w:t>
            </w:r>
          </w:p>
          <w:p w14:paraId="3247A1C0" w14:textId="01150A29" w:rsidR="002F5F27" w:rsidRPr="00495C2B" w:rsidRDefault="002F5F27" w:rsidP="00107950">
            <w:pPr>
              <w:spacing w:before="120" w:after="120"/>
              <w:rPr>
                <w:lang w:val="en-AU"/>
              </w:rPr>
            </w:pPr>
            <w:r w:rsidRPr="00495C2B">
              <w:rPr>
                <w:lang w:val="en-AU"/>
              </w:rPr>
              <w:t>It would be confusing to have to implement new standards in a current training year. After developing measures for the new model, it is advisable to commence implementation of the model standard in the next new training year.</w:t>
            </w:r>
          </w:p>
          <w:p w14:paraId="06D20874" w14:textId="4E0DABDC" w:rsidR="00702AC9" w:rsidRPr="00C66C84" w:rsidRDefault="00273CCE" w:rsidP="00C66C84">
            <w:pPr>
              <w:spacing w:before="120" w:after="120"/>
              <w:rPr>
                <w:lang w:val="en-AU"/>
              </w:rPr>
            </w:pPr>
            <w:r w:rsidRPr="00495C2B">
              <w:rPr>
                <w:lang w:val="en-AU"/>
              </w:rPr>
              <w:t>One aspect that may delay the implementation until a later year is if it is determined that an IT system is needed to support the process. An analysis of the increase in demands on units, reviewers and administrative staff will be undertaken to determine this.</w:t>
            </w:r>
          </w:p>
        </w:tc>
      </w:tr>
      <w:tr w:rsidR="005571A5" w:rsidRPr="00495C2B" w14:paraId="1867A558" w14:textId="77777777" w:rsidTr="6AA2306C">
        <w:trPr>
          <w:trHeight w:val="841"/>
        </w:trPr>
        <w:tc>
          <w:tcPr>
            <w:tcW w:w="9634" w:type="dxa"/>
            <w:shd w:val="clear" w:color="auto" w:fill="D7EEF2" w:themeFill="accent3" w:themeFillTint="33"/>
            <w:vAlign w:val="center"/>
          </w:tcPr>
          <w:p w14:paraId="50E91216" w14:textId="0F7426B8" w:rsidR="005571A5" w:rsidRPr="00495C2B" w:rsidRDefault="005571A5" w:rsidP="005571A5">
            <w:pPr>
              <w:spacing w:before="120" w:after="120"/>
              <w:jc w:val="both"/>
              <w:rPr>
                <w:rFonts w:cstheme="minorHAnsi"/>
                <w:lang w:val="en-AU"/>
              </w:rPr>
            </w:pPr>
            <w:r w:rsidRPr="00495C2B">
              <w:rPr>
                <w:rFonts w:ascii="Calibri" w:hAnsi="Calibri" w:cs="Calibri"/>
                <w:b/>
                <w:bCs/>
                <w:lang w:val="en-AU"/>
              </w:rPr>
              <w:t>For health services:</w:t>
            </w:r>
            <w:r w:rsidRPr="00495C2B">
              <w:rPr>
                <w:rFonts w:ascii="Calibri" w:hAnsi="Calibri" w:cs="Calibri"/>
                <w:lang w:val="en-AU"/>
              </w:rPr>
              <w:t xml:space="preserve"> What is a reasonable timeframe for your organisation(s) to be ready for assessment against the model standards and why?  </w:t>
            </w:r>
          </w:p>
        </w:tc>
      </w:tr>
      <w:tr w:rsidR="005571A5" w:rsidRPr="00495C2B" w14:paraId="1676F36C" w14:textId="77777777" w:rsidTr="6AA2306C">
        <w:trPr>
          <w:trHeight w:val="60"/>
        </w:trPr>
        <w:tc>
          <w:tcPr>
            <w:tcW w:w="9634" w:type="dxa"/>
            <w:shd w:val="clear" w:color="auto" w:fill="auto"/>
            <w:vAlign w:val="center"/>
          </w:tcPr>
          <w:p w14:paraId="5B3EE228" w14:textId="5D0014D8" w:rsidR="005571A5" w:rsidRPr="00495C2B" w:rsidRDefault="005571A5" w:rsidP="005571A5">
            <w:pPr>
              <w:spacing w:before="120" w:after="120"/>
              <w:jc w:val="both"/>
              <w:rPr>
                <w:lang w:val="en-AU"/>
              </w:rPr>
            </w:pPr>
          </w:p>
        </w:tc>
      </w:tr>
      <w:tr w:rsidR="005571A5" w:rsidRPr="00495C2B" w14:paraId="5FC421D8" w14:textId="77777777" w:rsidTr="6AA2306C">
        <w:tc>
          <w:tcPr>
            <w:tcW w:w="9634" w:type="dxa"/>
            <w:shd w:val="clear" w:color="auto" w:fill="2D7E8E" w:themeFill="accent3" w:themeFillShade="BF"/>
            <w:vAlign w:val="center"/>
          </w:tcPr>
          <w:p w14:paraId="32D63BE2" w14:textId="329AE758" w:rsidR="005571A5" w:rsidRPr="00495C2B" w:rsidRDefault="005571A5" w:rsidP="005571A5">
            <w:pPr>
              <w:spacing w:before="120" w:after="120"/>
              <w:rPr>
                <w:b/>
                <w:color w:val="F2F2F2" w:themeColor="background1" w:themeShade="F2"/>
                <w:lang w:val="en-AU"/>
              </w:rPr>
            </w:pPr>
            <w:r w:rsidRPr="00495C2B">
              <w:rPr>
                <w:b/>
                <w:color w:val="F2F2F2" w:themeColor="background1" w:themeShade="F2"/>
                <w:lang w:val="en-AU"/>
              </w:rPr>
              <w:t>Other feedback</w:t>
            </w:r>
          </w:p>
        </w:tc>
      </w:tr>
      <w:tr w:rsidR="005571A5" w:rsidRPr="00495C2B" w14:paraId="76C21AAD" w14:textId="77777777" w:rsidTr="6AA2306C">
        <w:trPr>
          <w:trHeight w:val="58"/>
        </w:trPr>
        <w:tc>
          <w:tcPr>
            <w:tcW w:w="9634" w:type="dxa"/>
            <w:shd w:val="clear" w:color="auto" w:fill="D7EEF2" w:themeFill="accent3" w:themeFillTint="33"/>
            <w:vAlign w:val="center"/>
          </w:tcPr>
          <w:p w14:paraId="2EDD3189" w14:textId="10AAFC87" w:rsidR="005571A5" w:rsidRPr="00495C2B" w:rsidRDefault="005571A5" w:rsidP="005571A5">
            <w:pPr>
              <w:spacing w:before="120" w:after="120"/>
              <w:jc w:val="both"/>
              <w:rPr>
                <w:rFonts w:cstheme="minorHAnsi"/>
                <w:lang w:val="en-AU"/>
              </w:rPr>
            </w:pPr>
            <w:r w:rsidRPr="00495C2B">
              <w:rPr>
                <w:rFonts w:eastAsia="Times New Roman" w:cstheme="minorHAnsi"/>
                <w:lang w:val="en-AU" w:eastAsia="en-AU"/>
              </w:rPr>
              <w:t xml:space="preserve">Do you have any additional comments regarding the model standards </w:t>
            </w:r>
            <w:r w:rsidRPr="00495C2B">
              <w:rPr>
                <w:rFonts w:ascii="Calibri" w:hAnsi="Calibri" w:cs="Calibri"/>
                <w:lang w:val="en-AU"/>
              </w:rPr>
              <w:t>that are not covered above</w:t>
            </w:r>
            <w:r w:rsidRPr="00495C2B">
              <w:rPr>
                <w:rFonts w:eastAsia="Times New Roman" w:cstheme="minorHAnsi"/>
                <w:lang w:val="en-AU" w:eastAsia="en-AU"/>
              </w:rPr>
              <w:t>?</w:t>
            </w:r>
          </w:p>
        </w:tc>
      </w:tr>
      <w:tr w:rsidR="005571A5" w:rsidRPr="00495C2B" w14:paraId="2DEE4A71" w14:textId="77777777" w:rsidTr="6AA2306C">
        <w:trPr>
          <w:trHeight w:val="60"/>
        </w:trPr>
        <w:tc>
          <w:tcPr>
            <w:tcW w:w="9634" w:type="dxa"/>
            <w:shd w:val="clear" w:color="auto" w:fill="auto"/>
            <w:vAlign w:val="center"/>
          </w:tcPr>
          <w:p w14:paraId="4FA34B08" w14:textId="1AA6DDC9" w:rsidR="002C39F5" w:rsidRPr="00D60279" w:rsidRDefault="00D60279" w:rsidP="006A310A">
            <w:pPr>
              <w:spacing w:before="120" w:after="120"/>
              <w:rPr>
                <w:b/>
                <w:bCs/>
                <w:lang w:val="en-AU"/>
              </w:rPr>
            </w:pPr>
            <w:r>
              <w:rPr>
                <w:b/>
                <w:bCs/>
                <w:lang w:val="en-AU"/>
              </w:rPr>
              <w:t>G</w:t>
            </w:r>
            <w:r w:rsidRPr="00D60279">
              <w:rPr>
                <w:b/>
                <w:bCs/>
                <w:lang w:val="en-AU"/>
              </w:rPr>
              <w:t>reater emphasis on accreditation of sites to deliver the ANZCA</w:t>
            </w:r>
            <w:r w:rsidR="00386CD6">
              <w:rPr>
                <w:b/>
                <w:bCs/>
                <w:lang w:val="en-AU"/>
              </w:rPr>
              <w:t xml:space="preserve"> and FPM</w:t>
            </w:r>
            <w:r w:rsidRPr="00D60279">
              <w:rPr>
                <w:b/>
                <w:bCs/>
                <w:lang w:val="en-AU"/>
              </w:rPr>
              <w:t xml:space="preserve"> Training Program</w:t>
            </w:r>
            <w:r w:rsidR="00386CD6">
              <w:rPr>
                <w:b/>
                <w:bCs/>
                <w:lang w:val="en-AU"/>
              </w:rPr>
              <w:t>s</w:t>
            </w:r>
          </w:p>
          <w:p w14:paraId="273B8A9D" w14:textId="3B8224CA" w:rsidR="00FF19C3" w:rsidRDefault="00FF19C3" w:rsidP="006A310A">
            <w:pPr>
              <w:spacing w:before="120" w:after="120"/>
              <w:rPr>
                <w:lang w:val="en-AU"/>
              </w:rPr>
            </w:pPr>
            <w:r w:rsidRPr="00495C2B">
              <w:rPr>
                <w:lang w:val="en-AU"/>
              </w:rPr>
              <w:t xml:space="preserve">One overall concern is that the model proposed could weaken down existing and proposed models for ANZCA. </w:t>
            </w:r>
            <w:r w:rsidR="006F5750">
              <w:rPr>
                <w:lang w:val="en-AU"/>
              </w:rPr>
              <w:t>Therefore</w:t>
            </w:r>
            <w:r w:rsidR="00FF0FD3">
              <w:t>,</w:t>
            </w:r>
            <w:r w:rsidR="00C83685">
              <w:rPr>
                <w:lang w:val="en-AU"/>
              </w:rPr>
              <w:t xml:space="preserve"> a greater</w:t>
            </w:r>
            <w:r w:rsidRPr="00495C2B">
              <w:rPr>
                <w:lang w:val="en-AU"/>
              </w:rPr>
              <w:t xml:space="preserve"> emphasis on accreditation of sites to deliver the ANZCA</w:t>
            </w:r>
            <w:r w:rsidR="00386CD6">
              <w:rPr>
                <w:lang w:val="en-AU"/>
              </w:rPr>
              <w:t xml:space="preserve"> and FPM</w:t>
            </w:r>
            <w:r w:rsidRPr="00495C2B">
              <w:rPr>
                <w:lang w:val="en-AU"/>
              </w:rPr>
              <w:t xml:space="preserve"> Training Program</w:t>
            </w:r>
            <w:r w:rsidR="00386CD6">
              <w:rPr>
                <w:lang w:val="en-AU"/>
              </w:rPr>
              <w:t>s</w:t>
            </w:r>
            <w:r w:rsidRPr="00495C2B">
              <w:rPr>
                <w:lang w:val="en-AU"/>
              </w:rPr>
              <w:t xml:space="preserve"> and all that </w:t>
            </w:r>
            <w:proofErr w:type="gramStart"/>
            <w:r w:rsidR="00386CD6">
              <w:rPr>
                <w:lang w:val="en-AU"/>
              </w:rPr>
              <w:t>these</w:t>
            </w:r>
            <w:r w:rsidR="00E06BE2">
              <w:rPr>
                <w:lang w:val="en-AU"/>
              </w:rPr>
              <w:t xml:space="preserve"> </w:t>
            </w:r>
            <w:r w:rsidRPr="00495C2B">
              <w:rPr>
                <w:lang w:val="en-AU"/>
              </w:rPr>
              <w:t>entail</w:t>
            </w:r>
            <w:proofErr w:type="gramEnd"/>
            <w:r w:rsidR="006F5750">
              <w:rPr>
                <w:lang w:val="en-AU"/>
              </w:rPr>
              <w:t xml:space="preserve"> is required</w:t>
            </w:r>
            <w:r w:rsidRPr="00495C2B">
              <w:rPr>
                <w:lang w:val="en-AU"/>
              </w:rPr>
              <w:t xml:space="preserve">, from engaging meaningfully with supporting the trainees to attain the graduate outcomes, to fulfilling trainee assessment requirements in the workplace. </w:t>
            </w:r>
          </w:p>
          <w:p w14:paraId="2F63CA2A" w14:textId="4E4A8E02" w:rsidR="008641D3" w:rsidRPr="000756E7" w:rsidRDefault="000756E7" w:rsidP="006A310A">
            <w:pPr>
              <w:spacing w:before="120" w:after="120"/>
              <w:rPr>
                <w:b/>
                <w:bCs/>
                <w:lang w:val="en-AU"/>
              </w:rPr>
            </w:pPr>
            <w:r w:rsidRPr="000756E7">
              <w:rPr>
                <w:b/>
                <w:bCs/>
                <w:lang w:val="en-AU"/>
              </w:rPr>
              <w:t>Governance</w:t>
            </w:r>
          </w:p>
          <w:p w14:paraId="0F864ABF" w14:textId="4BEEB20E" w:rsidR="008641D3" w:rsidRPr="000756E7" w:rsidRDefault="008641D3" w:rsidP="006A310A">
            <w:pPr>
              <w:spacing w:before="120" w:after="120"/>
              <w:rPr>
                <w:color w:val="FF0000"/>
                <w:lang w:val="en-AU"/>
              </w:rPr>
            </w:pPr>
            <w:r w:rsidRPr="00A205FD">
              <w:rPr>
                <w:color w:val="000000" w:themeColor="text1"/>
                <w:lang w:val="en-AU"/>
              </w:rPr>
              <w:t xml:space="preserve">Governance has not been discussed apart from the fact that jurisdictions need to be notified when a training unit/site has its accreditation questioned. Whose responsibility is it to ensure that local OHS laws regarding rostering, time paid for overtime, bullying, discrimination sexual </w:t>
            </w:r>
            <w:r w:rsidR="000756E7" w:rsidRPr="00A205FD">
              <w:rPr>
                <w:color w:val="000000" w:themeColor="text1"/>
                <w:lang w:val="en-AU"/>
              </w:rPr>
              <w:t>harassment</w:t>
            </w:r>
            <w:r w:rsidRPr="00A205FD">
              <w:rPr>
                <w:color w:val="000000" w:themeColor="text1"/>
                <w:lang w:val="en-AU"/>
              </w:rPr>
              <w:t xml:space="preserve"> etc are addressed? Too often in the past the government has washed its hands of the lack of professionalism exhibited by some of those responsible for training (see </w:t>
            </w:r>
            <w:proofErr w:type="gramStart"/>
            <w:r w:rsidRPr="00A205FD">
              <w:rPr>
                <w:color w:val="000000" w:themeColor="text1"/>
                <w:lang w:val="en-AU"/>
              </w:rPr>
              <w:t>Tan</w:t>
            </w:r>
            <w:proofErr w:type="gramEnd"/>
            <w:r w:rsidRPr="00A205FD">
              <w:rPr>
                <w:color w:val="000000" w:themeColor="text1"/>
                <w:lang w:val="en-AU"/>
              </w:rPr>
              <w:t xml:space="preserve"> v Xenos (no 3) Antidiscrimination [2008] VCAT 584) and would suggest that complaints (even informal complaints) is something that the Colleges should want to know about (and should be reportable to jurisdictions if it is not).</w:t>
            </w:r>
          </w:p>
        </w:tc>
      </w:tr>
    </w:tbl>
    <w:p w14:paraId="0AFC3094" w14:textId="77777777" w:rsidR="00BF505F" w:rsidRPr="00495C2B" w:rsidRDefault="00BF505F"/>
    <w:tbl>
      <w:tblPr>
        <w:tblStyle w:val="TableGrid"/>
        <w:tblW w:w="9634" w:type="dxa"/>
        <w:tblLook w:val="04A0" w:firstRow="1" w:lastRow="0" w:firstColumn="1" w:lastColumn="0" w:noHBand="0" w:noVBand="1"/>
      </w:tblPr>
      <w:tblGrid>
        <w:gridCol w:w="9634"/>
      </w:tblGrid>
      <w:tr w:rsidR="00BF505F" w:rsidRPr="00495C2B" w14:paraId="53329542" w14:textId="77777777" w:rsidTr="51D6CCCB">
        <w:tc>
          <w:tcPr>
            <w:tcW w:w="9634" w:type="dxa"/>
            <w:shd w:val="clear" w:color="auto" w:fill="2D7E8E" w:themeFill="accent3" w:themeFillShade="BF"/>
            <w:vAlign w:val="center"/>
          </w:tcPr>
          <w:p w14:paraId="46DE24B2" w14:textId="56E20060" w:rsidR="00BF505F" w:rsidRPr="00495C2B" w:rsidRDefault="00BF505F" w:rsidP="00057AEA">
            <w:pPr>
              <w:spacing w:before="120" w:after="120"/>
              <w:rPr>
                <w:bCs/>
                <w:sz w:val="28"/>
                <w:szCs w:val="28"/>
                <w:lang w:val="en-AU"/>
              </w:rPr>
            </w:pPr>
            <w:r w:rsidRPr="00495C2B">
              <w:rPr>
                <w:bCs/>
                <w:color w:val="F2F2F2" w:themeColor="background1" w:themeShade="F2"/>
                <w:sz w:val="28"/>
                <w:szCs w:val="28"/>
                <w:lang w:val="en-AU"/>
              </w:rPr>
              <w:t xml:space="preserve">Consultation questions relating to </w:t>
            </w:r>
            <w:r w:rsidRPr="00495C2B">
              <w:rPr>
                <w:b/>
                <w:color w:val="F2F2F2" w:themeColor="background1" w:themeShade="F2"/>
                <w:sz w:val="28"/>
                <w:szCs w:val="28"/>
                <w:lang w:val="en-AU"/>
              </w:rPr>
              <w:t>draft model procedures</w:t>
            </w:r>
            <w:r w:rsidRPr="00495C2B">
              <w:rPr>
                <w:bCs/>
                <w:color w:val="F2F2F2" w:themeColor="background1" w:themeShade="F2"/>
                <w:sz w:val="28"/>
                <w:szCs w:val="28"/>
                <w:lang w:val="en-AU"/>
              </w:rPr>
              <w:t>:</w:t>
            </w:r>
          </w:p>
        </w:tc>
      </w:tr>
      <w:tr w:rsidR="00850CD2" w:rsidRPr="00495C2B" w14:paraId="4056103A" w14:textId="77777777" w:rsidTr="51D6CCCB">
        <w:tc>
          <w:tcPr>
            <w:tcW w:w="9634" w:type="dxa"/>
            <w:shd w:val="clear" w:color="auto" w:fill="2D7E8E" w:themeFill="accent3" w:themeFillShade="BF"/>
            <w:vAlign w:val="center"/>
          </w:tcPr>
          <w:p w14:paraId="4B8ECCDD" w14:textId="5D6C2954" w:rsidR="00850CD2" w:rsidRPr="00495C2B" w:rsidRDefault="00850CD2" w:rsidP="00057AEA">
            <w:pPr>
              <w:spacing w:before="120" w:after="120"/>
              <w:rPr>
                <w:b/>
                <w:color w:val="F2F2F2" w:themeColor="background1" w:themeShade="F2"/>
                <w:lang w:val="en-AU"/>
              </w:rPr>
            </w:pPr>
            <w:r w:rsidRPr="00495C2B">
              <w:rPr>
                <w:b/>
                <w:color w:val="F2F2F2" w:themeColor="background1" w:themeShade="F2"/>
                <w:lang w:val="en-AU"/>
              </w:rPr>
              <w:t xml:space="preserve">General </w:t>
            </w:r>
            <w:r w:rsidR="001D6E8D" w:rsidRPr="00495C2B">
              <w:rPr>
                <w:b/>
                <w:color w:val="F2F2F2" w:themeColor="background1" w:themeShade="F2"/>
                <w:lang w:val="en-AU"/>
              </w:rPr>
              <w:t>feedback</w:t>
            </w:r>
          </w:p>
        </w:tc>
      </w:tr>
      <w:tr w:rsidR="00850CD2" w:rsidRPr="00495C2B" w14:paraId="23D877B0" w14:textId="77777777" w:rsidTr="51D6CCCB">
        <w:trPr>
          <w:trHeight w:val="58"/>
        </w:trPr>
        <w:tc>
          <w:tcPr>
            <w:tcW w:w="9634" w:type="dxa"/>
            <w:shd w:val="clear" w:color="auto" w:fill="D7EEF2" w:themeFill="accent3" w:themeFillTint="33"/>
            <w:vAlign w:val="center"/>
          </w:tcPr>
          <w:p w14:paraId="40B96806" w14:textId="1CACAA0A" w:rsidR="00850CD2" w:rsidRPr="00495C2B" w:rsidRDefault="00564EB2" w:rsidP="00057AEA">
            <w:pPr>
              <w:spacing w:before="120" w:after="120"/>
              <w:jc w:val="both"/>
              <w:rPr>
                <w:rFonts w:cstheme="minorHAnsi"/>
                <w:lang w:val="en-AU"/>
              </w:rPr>
            </w:pPr>
            <w:r w:rsidRPr="00495C2B">
              <w:rPr>
                <w:rFonts w:cstheme="minorHAnsi"/>
                <w:lang w:val="en-AU"/>
              </w:rPr>
              <w:t>Are the model procedures easy to read and understand?</w:t>
            </w:r>
          </w:p>
        </w:tc>
      </w:tr>
      <w:tr w:rsidR="00850CD2" w:rsidRPr="00495C2B" w14:paraId="0407DDA4" w14:textId="77777777" w:rsidTr="51D6CCCB">
        <w:trPr>
          <w:trHeight w:val="60"/>
        </w:trPr>
        <w:tc>
          <w:tcPr>
            <w:tcW w:w="9634" w:type="dxa"/>
            <w:shd w:val="clear" w:color="auto" w:fill="auto"/>
            <w:vAlign w:val="center"/>
          </w:tcPr>
          <w:p w14:paraId="294E9CB0" w14:textId="5D34A657" w:rsidR="00850CD2" w:rsidRPr="00495C2B" w:rsidRDefault="0009483F" w:rsidP="005919B5">
            <w:pPr>
              <w:spacing w:before="120" w:after="120"/>
              <w:rPr>
                <w:lang w:val="en-AU"/>
              </w:rPr>
            </w:pPr>
            <w:r w:rsidRPr="00495C2B">
              <w:rPr>
                <w:lang w:val="en-AU"/>
              </w:rPr>
              <w:t>Yes</w:t>
            </w:r>
            <w:r w:rsidR="00D20108">
              <w:rPr>
                <w:lang w:val="en-AU"/>
              </w:rPr>
              <w:t xml:space="preserve">, the procedures are easy to read and understand. Some suggestions are provided below. </w:t>
            </w:r>
          </w:p>
          <w:p w14:paraId="590BF540" w14:textId="77777777" w:rsidR="004831BB" w:rsidRPr="00495C2B" w:rsidRDefault="004831BB" w:rsidP="005919B5">
            <w:pPr>
              <w:spacing w:before="120" w:after="120"/>
              <w:rPr>
                <w:lang w:val="en-AU"/>
              </w:rPr>
            </w:pPr>
            <w:r w:rsidRPr="00495C2B">
              <w:rPr>
                <w:lang w:val="en-AU"/>
              </w:rPr>
              <w:t xml:space="preserve">Page 13, </w:t>
            </w:r>
            <w:r w:rsidR="005D40A6" w:rsidRPr="00495C2B">
              <w:rPr>
                <w:lang w:val="en-AU"/>
              </w:rPr>
              <w:t>dot point 5 in section 8 (extract below) – should the relevant jurisdictional department of health also be notified as well?</w:t>
            </w:r>
          </w:p>
          <w:p w14:paraId="1FDEB1CF" w14:textId="77777777" w:rsidR="005D40A6" w:rsidRPr="00495C2B" w:rsidRDefault="00160050" w:rsidP="005919B5">
            <w:pPr>
              <w:spacing w:before="120"/>
              <w:ind w:left="596"/>
              <w:rPr>
                <w:i/>
                <w:iCs/>
                <w:lang w:val="en-AU"/>
              </w:rPr>
            </w:pPr>
            <w:r w:rsidRPr="00495C2B">
              <w:rPr>
                <w:i/>
                <w:iCs/>
                <w:lang w:val="en-AU"/>
              </w:rPr>
              <w:t>Where an urgent response to an Issue is required to protect a trainee's health and safety, the college will communicate the matter appropriately to the accredited training setting to allow for both parties to meet their workplace health and safety obligations. If this includes removal of the trainee from the</w:t>
            </w:r>
            <w:r w:rsidR="00567ABC" w:rsidRPr="00495C2B">
              <w:rPr>
                <w:i/>
                <w:iCs/>
                <w:lang w:val="en-AU"/>
              </w:rPr>
              <w:t xml:space="preserve"> </w:t>
            </w:r>
            <w:r w:rsidRPr="00495C2B">
              <w:rPr>
                <w:i/>
                <w:iCs/>
                <w:lang w:val="en-AU"/>
              </w:rPr>
              <w:t>training setting (for example, providing immediate leave, moving the trainee to another setting), the</w:t>
            </w:r>
            <w:r w:rsidR="00567ABC" w:rsidRPr="00495C2B">
              <w:rPr>
                <w:i/>
                <w:iCs/>
                <w:lang w:val="en-AU"/>
              </w:rPr>
              <w:t xml:space="preserve"> </w:t>
            </w:r>
            <w:r w:rsidRPr="00495C2B">
              <w:rPr>
                <w:i/>
                <w:iCs/>
                <w:lang w:val="en-AU"/>
              </w:rPr>
              <w:t>parties will cooperate and coordinate actions to allow this to occur.</w:t>
            </w:r>
          </w:p>
          <w:p w14:paraId="427455AE" w14:textId="55EA2FBD" w:rsidR="002250D7" w:rsidRPr="00495C2B" w:rsidRDefault="00E7284B" w:rsidP="005919B5">
            <w:pPr>
              <w:spacing w:before="120"/>
              <w:rPr>
                <w:lang w:val="en-AU"/>
              </w:rPr>
            </w:pPr>
            <w:r w:rsidRPr="00495C2B">
              <w:rPr>
                <w:lang w:val="en-AU"/>
              </w:rPr>
              <w:lastRenderedPageBreak/>
              <w:t>Page 16, s</w:t>
            </w:r>
            <w:r w:rsidR="005064DA" w:rsidRPr="00495C2B">
              <w:rPr>
                <w:lang w:val="en-AU"/>
              </w:rPr>
              <w:t>ection 9</w:t>
            </w:r>
            <w:r w:rsidR="00957871" w:rsidRPr="00495C2B">
              <w:rPr>
                <w:lang w:val="en-AU"/>
              </w:rPr>
              <w:t xml:space="preserve"> </w:t>
            </w:r>
            <w:r w:rsidR="00964763" w:rsidRPr="00495C2B">
              <w:rPr>
                <w:lang w:val="en-AU"/>
              </w:rPr>
              <w:t xml:space="preserve">communication protocol </w:t>
            </w:r>
            <w:r w:rsidR="00C070D0" w:rsidRPr="00495C2B">
              <w:rPr>
                <w:lang w:val="en-AU"/>
              </w:rPr>
              <w:t>–</w:t>
            </w:r>
            <w:r w:rsidR="00957871" w:rsidRPr="00495C2B">
              <w:rPr>
                <w:lang w:val="en-AU"/>
              </w:rPr>
              <w:t xml:space="preserve"> </w:t>
            </w:r>
            <w:r w:rsidR="00C070D0" w:rsidRPr="00495C2B">
              <w:rPr>
                <w:lang w:val="en-AU"/>
              </w:rPr>
              <w:t xml:space="preserve">updated contact points are advised to the college and our records are updated, however there needs to be a process/contact point to advise how AMC will update the website contacts. </w:t>
            </w:r>
          </w:p>
        </w:tc>
      </w:tr>
      <w:tr w:rsidR="00A622F9" w:rsidRPr="00495C2B" w14:paraId="0ECBD5E6" w14:textId="77777777" w:rsidTr="51D6CCCB">
        <w:trPr>
          <w:trHeight w:val="142"/>
        </w:trPr>
        <w:tc>
          <w:tcPr>
            <w:tcW w:w="9634" w:type="dxa"/>
            <w:shd w:val="clear" w:color="auto" w:fill="D7EEF2" w:themeFill="accent3" w:themeFillTint="33"/>
            <w:vAlign w:val="center"/>
          </w:tcPr>
          <w:p w14:paraId="04C82F50" w14:textId="78EC2C13" w:rsidR="00A622F9" w:rsidRPr="00495C2B" w:rsidRDefault="00A622F9" w:rsidP="00FB3B36">
            <w:pPr>
              <w:keepNext/>
              <w:spacing w:before="120" w:after="120"/>
              <w:jc w:val="both"/>
              <w:rPr>
                <w:rFonts w:cstheme="minorHAnsi"/>
                <w:lang w:val="en-AU"/>
              </w:rPr>
            </w:pPr>
            <w:r w:rsidRPr="00495C2B">
              <w:rPr>
                <w:rFonts w:ascii="Calibri" w:hAnsi="Calibri" w:cs="Calibri"/>
                <w:lang w:val="en-AU"/>
              </w:rPr>
              <w:lastRenderedPageBreak/>
              <w:t>Are there any requirements in the model procedures that would raise challenges for your organisation?</w:t>
            </w:r>
          </w:p>
        </w:tc>
      </w:tr>
      <w:tr w:rsidR="00A622F9" w:rsidRPr="00495C2B" w14:paraId="02874D71" w14:textId="77777777" w:rsidTr="51D6CCCB">
        <w:trPr>
          <w:trHeight w:val="60"/>
        </w:trPr>
        <w:tc>
          <w:tcPr>
            <w:tcW w:w="9634" w:type="dxa"/>
            <w:shd w:val="clear" w:color="auto" w:fill="auto"/>
            <w:vAlign w:val="center"/>
          </w:tcPr>
          <w:p w14:paraId="2ADD90DF" w14:textId="61D69162" w:rsidR="00F63966" w:rsidRDefault="00F63966" w:rsidP="00FB3B36">
            <w:pPr>
              <w:spacing w:before="120"/>
              <w:rPr>
                <w:lang w:val="en-AU"/>
              </w:rPr>
            </w:pPr>
            <w:r>
              <w:rPr>
                <w:lang w:val="en-AU"/>
              </w:rPr>
              <w:t xml:space="preserve">Some of the items </w:t>
            </w:r>
            <w:r w:rsidR="007862A7">
              <w:rPr>
                <w:lang w:val="en-AU"/>
              </w:rPr>
              <w:t>that require consideration include:</w:t>
            </w:r>
          </w:p>
          <w:p w14:paraId="5B1B5539" w14:textId="77777777" w:rsidR="002019DF" w:rsidRDefault="00BB057F" w:rsidP="002019DF">
            <w:pPr>
              <w:pStyle w:val="ListParagraph"/>
              <w:numPr>
                <w:ilvl w:val="0"/>
                <w:numId w:val="15"/>
              </w:numPr>
              <w:spacing w:before="120"/>
              <w:ind w:left="714" w:hanging="357"/>
              <w:contextualSpacing w:val="0"/>
              <w:rPr>
                <w:lang w:val="en-AU"/>
              </w:rPr>
            </w:pPr>
            <w:r w:rsidRPr="00C942F4">
              <w:rPr>
                <w:lang w:val="en-AU"/>
              </w:rPr>
              <w:t>The r</w:t>
            </w:r>
            <w:r w:rsidR="0007181A" w:rsidRPr="00C942F4">
              <w:rPr>
                <w:lang w:val="en-AU"/>
              </w:rPr>
              <w:t>econsideration</w:t>
            </w:r>
            <w:r w:rsidRPr="00C942F4">
              <w:rPr>
                <w:lang w:val="en-AU"/>
              </w:rPr>
              <w:t xml:space="preserve"> process should attract a fee as it is an intensive process. Our appeals</w:t>
            </w:r>
            <w:r w:rsidR="00654018">
              <w:rPr>
                <w:lang w:val="en-AU"/>
              </w:rPr>
              <w:t xml:space="preserve"> process cost</w:t>
            </w:r>
            <w:r w:rsidRPr="00C942F4">
              <w:rPr>
                <w:lang w:val="en-AU"/>
              </w:rPr>
              <w:t xml:space="preserve"> is low in comparison to others </w:t>
            </w:r>
            <w:r w:rsidR="00654018">
              <w:rPr>
                <w:lang w:val="en-AU"/>
              </w:rPr>
              <w:t>(</w:t>
            </w:r>
            <w:r w:rsidR="00AD0540" w:rsidRPr="00C942F4">
              <w:rPr>
                <w:lang w:val="en-AU"/>
              </w:rPr>
              <w:t xml:space="preserve">the fee doesn’t even cover </w:t>
            </w:r>
            <w:r w:rsidRPr="00C942F4">
              <w:rPr>
                <w:lang w:val="en-AU"/>
              </w:rPr>
              <w:t xml:space="preserve">our </w:t>
            </w:r>
            <w:r w:rsidR="00654018">
              <w:rPr>
                <w:lang w:val="en-AU"/>
              </w:rPr>
              <w:t xml:space="preserve">associated </w:t>
            </w:r>
            <w:r w:rsidRPr="00C942F4">
              <w:rPr>
                <w:lang w:val="en-AU"/>
              </w:rPr>
              <w:t>l</w:t>
            </w:r>
            <w:r w:rsidR="00AD0540" w:rsidRPr="00C942F4">
              <w:rPr>
                <w:lang w:val="en-AU"/>
              </w:rPr>
              <w:t>egal fees</w:t>
            </w:r>
            <w:r w:rsidR="00654018">
              <w:rPr>
                <w:lang w:val="en-AU"/>
              </w:rPr>
              <w:t>)</w:t>
            </w:r>
            <w:r w:rsidR="00AD0540" w:rsidRPr="00C942F4">
              <w:rPr>
                <w:lang w:val="en-AU"/>
              </w:rPr>
              <w:t>.</w:t>
            </w:r>
            <w:r w:rsidRPr="00C942F4">
              <w:rPr>
                <w:lang w:val="en-AU"/>
              </w:rPr>
              <w:t xml:space="preserve">  </w:t>
            </w:r>
          </w:p>
          <w:p w14:paraId="7814E540" w14:textId="77777777" w:rsidR="002019DF" w:rsidRDefault="00FE35BF" w:rsidP="002019DF">
            <w:pPr>
              <w:pStyle w:val="ListParagraph"/>
              <w:numPr>
                <w:ilvl w:val="0"/>
                <w:numId w:val="15"/>
              </w:numPr>
              <w:spacing w:before="120"/>
              <w:ind w:left="714" w:hanging="357"/>
              <w:contextualSpacing w:val="0"/>
              <w:rPr>
                <w:lang w:val="en-AU"/>
              </w:rPr>
            </w:pPr>
            <w:r w:rsidRPr="002019DF">
              <w:rPr>
                <w:lang w:val="en-AU"/>
              </w:rPr>
              <w:t xml:space="preserve">What is a ‘reasonable period’ to implement required conditions? ANZCA is likely to be stricter about this than the AMC, as demonstrated by </w:t>
            </w:r>
            <w:r w:rsidR="008A12E9" w:rsidRPr="002019DF">
              <w:rPr>
                <w:lang w:val="en-AU"/>
              </w:rPr>
              <w:t>high-risk</w:t>
            </w:r>
            <w:r w:rsidRPr="002019DF">
              <w:rPr>
                <w:lang w:val="en-AU"/>
              </w:rPr>
              <w:t xml:space="preserve"> new settings being ‘provisionally accredited’ under this framework, whereas ANZCA I suspect would refuse accreditation</w:t>
            </w:r>
            <w:r w:rsidR="269A9791" w:rsidRPr="002019DF">
              <w:rPr>
                <w:lang w:val="en-AU"/>
              </w:rPr>
              <w:t xml:space="preserve"> in the event all requirements are not either being met and/or have strategies in place to meet the standards</w:t>
            </w:r>
            <w:r w:rsidRPr="002019DF">
              <w:rPr>
                <w:lang w:val="en-AU"/>
              </w:rPr>
              <w:t>.</w:t>
            </w:r>
          </w:p>
          <w:p w14:paraId="00987A0B" w14:textId="5159AB7E" w:rsidR="00180988" w:rsidRPr="002019DF" w:rsidRDefault="00055DD1" w:rsidP="002019DF">
            <w:pPr>
              <w:pStyle w:val="ListParagraph"/>
              <w:numPr>
                <w:ilvl w:val="0"/>
                <w:numId w:val="15"/>
              </w:numPr>
              <w:spacing w:before="120"/>
              <w:ind w:left="714" w:hanging="357"/>
              <w:contextualSpacing w:val="0"/>
              <w:rPr>
                <w:lang w:val="en-AU"/>
              </w:rPr>
            </w:pPr>
            <w:r w:rsidRPr="002019DF">
              <w:rPr>
                <w:lang w:val="en-AU"/>
              </w:rPr>
              <w:t>C</w:t>
            </w:r>
            <w:r w:rsidR="00C25912" w:rsidRPr="002019DF">
              <w:rPr>
                <w:lang w:val="en-AU"/>
              </w:rPr>
              <w:t xml:space="preserve">onsumer and </w:t>
            </w:r>
            <w:r w:rsidR="00EC7142" w:rsidRPr="002019DF">
              <w:rPr>
                <w:lang w:val="en-AU"/>
              </w:rPr>
              <w:t>legal representation on accreditation committee</w:t>
            </w:r>
            <w:r w:rsidRPr="002019DF">
              <w:rPr>
                <w:lang w:val="en-AU"/>
              </w:rPr>
              <w:t xml:space="preserve"> may not be appropriate</w:t>
            </w:r>
            <w:r w:rsidR="00580804" w:rsidRPr="002019DF">
              <w:rPr>
                <w:lang w:val="en-AU"/>
              </w:rPr>
              <w:t xml:space="preserve">. </w:t>
            </w:r>
            <w:r w:rsidR="737954BA" w:rsidRPr="002019DF">
              <w:rPr>
                <w:lang w:val="en-AU"/>
              </w:rPr>
              <w:t xml:space="preserve">Our experience with consumer representatives on accreditation committees in the past has demonstrated little value and feedback from consumers indicate they do not have the knowledge to meaningfully contribute to such processes. </w:t>
            </w:r>
          </w:p>
          <w:p w14:paraId="3CD9971F" w14:textId="73F9303D" w:rsidR="009A0C91" w:rsidRPr="0087645E" w:rsidRDefault="009A0C91" w:rsidP="00FB3B36">
            <w:pPr>
              <w:pStyle w:val="ListParagraph"/>
              <w:numPr>
                <w:ilvl w:val="0"/>
                <w:numId w:val="15"/>
              </w:numPr>
              <w:spacing w:before="120"/>
              <w:ind w:left="714" w:hanging="357"/>
              <w:contextualSpacing w:val="0"/>
              <w:rPr>
                <w:color w:val="000000" w:themeColor="text1"/>
                <w:lang w:val="en-AU"/>
              </w:rPr>
            </w:pPr>
            <w:r w:rsidRPr="000D0ECB">
              <w:rPr>
                <w:color w:val="000000" w:themeColor="text1"/>
                <w:lang w:val="en-AU"/>
              </w:rPr>
              <w:t>There is nothing in this document that requires providers or jurisdictions to comply with requirements for accreditation – for trainee safety, the provision of appropriate resources including opportunities for both formal and informal training and time for supervision. Increasingly with a move to competency-based education in the medical specialist sphere, access to time and personnel in the workplace will be a necessary ‘evil’ creating tensions with service delivery.</w:t>
            </w:r>
          </w:p>
        </w:tc>
      </w:tr>
      <w:tr w:rsidR="00D62530" w:rsidRPr="00495C2B" w14:paraId="21D26596" w14:textId="77777777" w:rsidTr="51D6CCCB">
        <w:tc>
          <w:tcPr>
            <w:tcW w:w="9634" w:type="dxa"/>
            <w:shd w:val="clear" w:color="auto" w:fill="2D7E8E" w:themeFill="accent3" w:themeFillShade="BF"/>
            <w:vAlign w:val="center"/>
          </w:tcPr>
          <w:p w14:paraId="18FFA10E" w14:textId="5D3AEEBB" w:rsidR="00D62530" w:rsidRPr="00495C2B" w:rsidRDefault="00D62530" w:rsidP="00057AEA">
            <w:pPr>
              <w:spacing w:before="120" w:after="120"/>
              <w:rPr>
                <w:b/>
                <w:color w:val="F2F2F2" w:themeColor="background1" w:themeShade="F2"/>
                <w:lang w:val="en-AU"/>
              </w:rPr>
            </w:pPr>
            <w:r w:rsidRPr="00495C2B">
              <w:rPr>
                <w:b/>
                <w:color w:val="F2F2F2" w:themeColor="background1" w:themeShade="F2"/>
                <w:lang w:val="en-AU"/>
              </w:rPr>
              <w:t>Feedback regarding agreed terminology</w:t>
            </w:r>
          </w:p>
        </w:tc>
      </w:tr>
      <w:tr w:rsidR="00A622F9" w:rsidRPr="00495C2B" w14:paraId="2E8995C5" w14:textId="77777777" w:rsidTr="51D6CCCB">
        <w:trPr>
          <w:trHeight w:val="841"/>
        </w:trPr>
        <w:tc>
          <w:tcPr>
            <w:tcW w:w="9634" w:type="dxa"/>
            <w:shd w:val="clear" w:color="auto" w:fill="D7EEF2" w:themeFill="accent3" w:themeFillTint="33"/>
            <w:vAlign w:val="center"/>
          </w:tcPr>
          <w:p w14:paraId="290BB304" w14:textId="49A1AA68" w:rsidR="005658B0" w:rsidRPr="00495C2B" w:rsidRDefault="005658B0" w:rsidP="005658B0">
            <w:pPr>
              <w:tabs>
                <w:tab w:val="left" w:pos="1764"/>
              </w:tabs>
              <w:spacing w:before="120" w:after="120"/>
              <w:rPr>
                <w:rFonts w:ascii="Calibri" w:hAnsi="Calibri" w:cs="Calibri"/>
                <w:lang w:val="en-AU"/>
              </w:rPr>
            </w:pPr>
            <w:r w:rsidRPr="00495C2B">
              <w:rPr>
                <w:rFonts w:ascii="Calibri" w:hAnsi="Calibri" w:cs="Calibri"/>
                <w:b/>
                <w:bCs/>
                <w:lang w:val="en-AU"/>
              </w:rPr>
              <w:t>For colleges:</w:t>
            </w:r>
            <w:r w:rsidRPr="00495C2B">
              <w:rPr>
                <w:rFonts w:ascii="Calibri" w:hAnsi="Calibri" w:cs="Calibri"/>
                <w:lang w:val="en-AU"/>
              </w:rPr>
              <w:t xml:space="preserve"> Are there any obstacles to your college implementing the common terminology for: </w:t>
            </w:r>
          </w:p>
          <w:p w14:paraId="40DF79C5" w14:textId="135800D1" w:rsidR="005658B0" w:rsidRPr="00495C2B" w:rsidRDefault="005658B0" w:rsidP="005658B0">
            <w:pPr>
              <w:pStyle w:val="ListParagraph"/>
              <w:numPr>
                <w:ilvl w:val="0"/>
                <w:numId w:val="6"/>
              </w:numPr>
              <w:tabs>
                <w:tab w:val="left" w:pos="1764"/>
              </w:tabs>
              <w:spacing w:before="120" w:after="120"/>
              <w:contextualSpacing w:val="0"/>
              <w:rPr>
                <w:rFonts w:ascii="Calibri" w:hAnsi="Calibri" w:cs="Calibri"/>
                <w:lang w:val="en-AU"/>
              </w:rPr>
            </w:pPr>
            <w:r w:rsidRPr="00495C2B">
              <w:rPr>
                <w:rFonts w:ascii="Calibri" w:hAnsi="Calibri" w:cs="Calibri"/>
                <w:lang w:val="en-AU"/>
              </w:rPr>
              <w:t xml:space="preserve">assessment against the </w:t>
            </w:r>
            <w:proofErr w:type="gramStart"/>
            <w:r w:rsidRPr="00495C2B">
              <w:rPr>
                <w:rFonts w:ascii="Calibri" w:hAnsi="Calibri" w:cs="Calibri"/>
                <w:lang w:val="en-AU"/>
              </w:rPr>
              <w:t>standards:</w:t>
            </w:r>
            <w:proofErr w:type="gramEnd"/>
            <w:r w:rsidRPr="00495C2B">
              <w:rPr>
                <w:rFonts w:ascii="Calibri" w:hAnsi="Calibri" w:cs="Calibri"/>
                <w:lang w:val="en-AU"/>
              </w:rPr>
              <w:t xml:space="preserve"> met; substantially met; not met</w:t>
            </w:r>
          </w:p>
          <w:p w14:paraId="584F41D2" w14:textId="77777777" w:rsidR="005658B0" w:rsidRPr="00495C2B" w:rsidRDefault="005658B0" w:rsidP="005658B0">
            <w:pPr>
              <w:pStyle w:val="ListParagraph"/>
              <w:numPr>
                <w:ilvl w:val="0"/>
                <w:numId w:val="6"/>
              </w:numPr>
              <w:tabs>
                <w:tab w:val="left" w:pos="1764"/>
              </w:tabs>
              <w:spacing w:before="120" w:after="120"/>
              <w:contextualSpacing w:val="0"/>
              <w:rPr>
                <w:rFonts w:ascii="Calibri" w:hAnsi="Calibri" w:cs="Calibri"/>
                <w:lang w:val="en-AU"/>
              </w:rPr>
            </w:pPr>
            <w:r w:rsidRPr="00495C2B">
              <w:rPr>
                <w:rFonts w:ascii="Calibri" w:hAnsi="Calibri" w:cs="Calibri"/>
                <w:lang w:val="en-AU"/>
              </w:rPr>
              <w:t>accreditation outcomes for new settings: provisionally accredited; not accredited – refused</w:t>
            </w:r>
          </w:p>
          <w:p w14:paraId="1BB29EFA" w14:textId="3924AB84" w:rsidR="00A622F9" w:rsidRPr="00495C2B" w:rsidRDefault="005658B0" w:rsidP="005658B0">
            <w:pPr>
              <w:pStyle w:val="ListParagraph"/>
              <w:numPr>
                <w:ilvl w:val="0"/>
                <w:numId w:val="6"/>
              </w:numPr>
              <w:tabs>
                <w:tab w:val="left" w:pos="1764"/>
              </w:tabs>
              <w:spacing w:before="120" w:after="120"/>
              <w:contextualSpacing w:val="0"/>
              <w:rPr>
                <w:lang w:val="en-AU"/>
              </w:rPr>
            </w:pPr>
            <w:r w:rsidRPr="00495C2B">
              <w:rPr>
                <w:rFonts w:ascii="Calibri" w:hAnsi="Calibri" w:cs="Calibri"/>
                <w:lang w:val="en-AU"/>
              </w:rPr>
              <w:t xml:space="preserve">accreditation outcomes for existing settings: accredited; conditionally accredited; not accredited </w:t>
            </w:r>
            <w:r w:rsidR="003730B1" w:rsidRPr="00495C2B">
              <w:rPr>
                <w:rFonts w:ascii="Calibri" w:hAnsi="Calibri" w:cs="Calibri"/>
                <w:lang w:val="en-AU"/>
              </w:rPr>
              <w:t xml:space="preserve">– </w:t>
            </w:r>
            <w:r w:rsidRPr="00495C2B">
              <w:rPr>
                <w:rFonts w:ascii="Calibri" w:hAnsi="Calibri" w:cs="Calibri"/>
                <w:lang w:val="en-AU"/>
              </w:rPr>
              <w:t>revoked.</w:t>
            </w:r>
          </w:p>
        </w:tc>
      </w:tr>
      <w:tr w:rsidR="00A622F9" w:rsidRPr="00495C2B" w14:paraId="09999EDD" w14:textId="77777777" w:rsidTr="51D6CCCB">
        <w:trPr>
          <w:trHeight w:val="60"/>
        </w:trPr>
        <w:tc>
          <w:tcPr>
            <w:tcW w:w="9634" w:type="dxa"/>
            <w:shd w:val="clear" w:color="auto" w:fill="auto"/>
            <w:vAlign w:val="center"/>
          </w:tcPr>
          <w:p w14:paraId="51D2A2DA" w14:textId="6236CAD5" w:rsidR="00A622F9" w:rsidRDefault="000612F6" w:rsidP="00A50238">
            <w:pPr>
              <w:spacing w:before="120" w:after="120"/>
              <w:rPr>
                <w:lang w:val="en-AU"/>
              </w:rPr>
            </w:pPr>
            <w:r w:rsidRPr="00495C2B">
              <w:rPr>
                <w:lang w:val="en-AU"/>
              </w:rPr>
              <w:t>Terminology for assessment against the standards are appropriate</w:t>
            </w:r>
            <w:r w:rsidR="00525D24">
              <w:rPr>
                <w:lang w:val="en-AU"/>
              </w:rPr>
              <w:t>.</w:t>
            </w:r>
            <w:r w:rsidRPr="00495C2B">
              <w:rPr>
                <w:lang w:val="en-AU"/>
              </w:rPr>
              <w:t xml:space="preserve"> </w:t>
            </w:r>
            <w:r w:rsidR="00C83A0E" w:rsidRPr="00495C2B">
              <w:rPr>
                <w:lang w:val="en-AU"/>
              </w:rPr>
              <w:t>ANZCA uses similar terminology already and the terminology around the final exam is moving towards this.</w:t>
            </w:r>
          </w:p>
          <w:p w14:paraId="6F4372D7" w14:textId="3E5603C6" w:rsidR="0075112C" w:rsidRPr="006F4994" w:rsidRDefault="00B5145C" w:rsidP="00A50238">
            <w:pPr>
              <w:spacing w:before="120" w:after="120"/>
              <w:rPr>
                <w:color w:val="000000" w:themeColor="text1"/>
                <w:lang w:val="en-AU"/>
              </w:rPr>
            </w:pPr>
            <w:r w:rsidRPr="00464A37">
              <w:rPr>
                <w:color w:val="000000" w:themeColor="text1"/>
                <w:lang w:val="en-AU"/>
              </w:rPr>
              <w:t xml:space="preserve">Suggest adding for “accreditation outcomes for existing </w:t>
            </w:r>
            <w:r w:rsidR="00EB5D80" w:rsidRPr="00464A37">
              <w:rPr>
                <w:color w:val="000000" w:themeColor="text1"/>
                <w:lang w:val="en-AU"/>
              </w:rPr>
              <w:t xml:space="preserve">training </w:t>
            </w:r>
            <w:r w:rsidRPr="00464A37">
              <w:rPr>
                <w:color w:val="000000" w:themeColor="text1"/>
                <w:lang w:val="en-AU"/>
              </w:rPr>
              <w:t>settings”</w:t>
            </w:r>
            <w:r w:rsidR="00D96E34" w:rsidRPr="00464A37">
              <w:rPr>
                <w:color w:val="000000" w:themeColor="text1"/>
                <w:lang w:val="en-AU"/>
              </w:rPr>
              <w:t xml:space="preserve"> (page 15)</w:t>
            </w:r>
            <w:r w:rsidRPr="00464A37">
              <w:rPr>
                <w:color w:val="000000" w:themeColor="text1"/>
                <w:lang w:val="en-AU"/>
              </w:rPr>
              <w:t xml:space="preserve"> - accreditation suspended. For smaller Colleges and </w:t>
            </w:r>
            <w:r w:rsidR="00D96E34" w:rsidRPr="00464A37">
              <w:rPr>
                <w:color w:val="000000" w:themeColor="text1"/>
                <w:lang w:val="en-AU"/>
              </w:rPr>
              <w:t>F</w:t>
            </w:r>
            <w:r w:rsidRPr="00464A37">
              <w:rPr>
                <w:color w:val="000000" w:themeColor="text1"/>
                <w:lang w:val="en-AU"/>
              </w:rPr>
              <w:t>aculties where personnel changes (in particular</w:t>
            </w:r>
            <w:r w:rsidR="003B5F75">
              <w:rPr>
                <w:color w:val="000000" w:themeColor="text1"/>
                <w:lang w:val="en-AU"/>
              </w:rPr>
              <w:t xml:space="preserve">, </w:t>
            </w:r>
            <w:r w:rsidR="00181387" w:rsidRPr="00181387">
              <w:rPr>
                <w:color w:val="000000" w:themeColor="text1"/>
                <w:lang w:val="en-AU"/>
              </w:rPr>
              <w:t>a resignation or multiple resignations</w:t>
            </w:r>
            <w:r w:rsidR="00181387">
              <w:rPr>
                <w:color w:val="000000" w:themeColor="text1"/>
                <w:lang w:val="en-AU"/>
              </w:rPr>
              <w:t>)</w:t>
            </w:r>
            <w:r w:rsidR="00181387" w:rsidRPr="00181387">
              <w:rPr>
                <w:color w:val="000000" w:themeColor="text1"/>
                <w:lang w:val="en-AU"/>
              </w:rPr>
              <w:t>, units may not be able to deliver training or meet the accreditation standards</w:t>
            </w:r>
            <w:r w:rsidR="00063F3F">
              <w:rPr>
                <w:color w:val="000000" w:themeColor="text1"/>
                <w:lang w:val="en-AU"/>
              </w:rPr>
              <w:t>. This</w:t>
            </w:r>
            <w:r w:rsidRPr="00464A37">
              <w:rPr>
                <w:color w:val="000000" w:themeColor="text1"/>
                <w:lang w:val="en-AU"/>
              </w:rPr>
              <w:t xml:space="preserve"> </w:t>
            </w:r>
            <w:r w:rsidR="009E2A3D">
              <w:rPr>
                <w:color w:val="000000" w:themeColor="text1"/>
                <w:lang w:val="en-AU"/>
              </w:rPr>
              <w:t xml:space="preserve">results in a </w:t>
            </w:r>
            <w:r w:rsidRPr="00464A37">
              <w:rPr>
                <w:color w:val="000000" w:themeColor="text1"/>
                <w:lang w:val="en-AU"/>
              </w:rPr>
              <w:t xml:space="preserve">period of “suspended accreditation” where trainees must have supervision arranged external to the training unit and training providers may not employ further trainees until the issues are rectified and reviewed, suspension may negate the requirement for the whole process to commence again. </w:t>
            </w:r>
            <w:r w:rsidR="00B26C5D">
              <w:rPr>
                <w:color w:val="000000" w:themeColor="text1"/>
                <w:lang w:val="en-AU"/>
              </w:rPr>
              <w:t xml:space="preserve">This is </w:t>
            </w:r>
            <w:r w:rsidR="00B26C5D" w:rsidRPr="00B26C5D">
              <w:rPr>
                <w:color w:val="000000" w:themeColor="text1"/>
                <w:lang w:val="en-AU"/>
              </w:rPr>
              <w:t xml:space="preserve">with the proviso that this is for a nominated period (&lt;12 months). </w:t>
            </w:r>
            <w:r w:rsidR="00A61F3C">
              <w:rPr>
                <w:color w:val="000000" w:themeColor="text1"/>
                <w:lang w:val="en-AU"/>
              </w:rPr>
              <w:t>FPM</w:t>
            </w:r>
            <w:r w:rsidR="00CA203E" w:rsidRPr="00495C2B">
              <w:rPr>
                <w:lang w:val="en-AU"/>
              </w:rPr>
              <w:t xml:space="preserve"> currently have an accreditation outcome that allows a unit to move into a suspended status for up to 12 months to avoid having to remove their accreditation. This suspended status allows for a faster return to being accredited and being able to recruit new trainees. If a suspended outcome is not included in the model procedures, </w:t>
            </w:r>
            <w:r w:rsidR="00760CB9">
              <w:rPr>
                <w:lang w:val="en-AU"/>
              </w:rPr>
              <w:t>FPM</w:t>
            </w:r>
            <w:r w:rsidR="00CA203E" w:rsidRPr="00495C2B">
              <w:rPr>
                <w:lang w:val="en-AU"/>
              </w:rPr>
              <w:t xml:space="preserve"> expects that more units will need to have their accreditation withdrawn impacting the training pipeline and waitlists for chronic pain services.</w:t>
            </w:r>
            <w:r w:rsidR="00E74245">
              <w:rPr>
                <w:lang w:val="en-AU"/>
              </w:rPr>
              <w:t xml:space="preserve"> </w:t>
            </w:r>
            <w:r w:rsidR="00E74245" w:rsidRPr="00E74245">
              <w:rPr>
                <w:lang w:val="en-AU"/>
              </w:rPr>
              <w:t>It may be an option for smaller training programs such as pain medicine and not the bigger training programs where trainees work in larger teams.</w:t>
            </w:r>
          </w:p>
        </w:tc>
      </w:tr>
      <w:tr w:rsidR="00A622F9" w:rsidRPr="00495C2B" w14:paraId="1F9628CE" w14:textId="77777777" w:rsidTr="51D6CCCB">
        <w:trPr>
          <w:trHeight w:val="841"/>
        </w:trPr>
        <w:tc>
          <w:tcPr>
            <w:tcW w:w="9634" w:type="dxa"/>
            <w:shd w:val="clear" w:color="auto" w:fill="D7EEF2" w:themeFill="accent3" w:themeFillTint="33"/>
            <w:vAlign w:val="center"/>
          </w:tcPr>
          <w:p w14:paraId="65704865" w14:textId="21CB8C4F" w:rsidR="00A622F9" w:rsidRPr="00495C2B" w:rsidRDefault="00F64190" w:rsidP="00057AEA">
            <w:pPr>
              <w:spacing w:before="120" w:after="120"/>
              <w:jc w:val="both"/>
              <w:rPr>
                <w:rFonts w:cstheme="minorHAnsi"/>
                <w:lang w:val="en-AU"/>
              </w:rPr>
            </w:pPr>
            <w:r w:rsidRPr="00495C2B">
              <w:rPr>
                <w:rFonts w:ascii="Calibri" w:hAnsi="Calibri" w:cs="Calibri"/>
                <w:b/>
                <w:bCs/>
                <w:lang w:val="en-AU"/>
              </w:rPr>
              <w:t>For colleges:</w:t>
            </w:r>
            <w:r w:rsidRPr="00495C2B">
              <w:rPr>
                <w:rFonts w:ascii="Calibri" w:hAnsi="Calibri" w:cs="Calibri"/>
                <w:lang w:val="en-AU"/>
              </w:rPr>
              <w:t xml:space="preserve"> In what timeframe could your college implement this terminology?</w:t>
            </w:r>
            <w:r w:rsidR="003224DA" w:rsidRPr="00495C2B">
              <w:rPr>
                <w:rFonts w:ascii="Calibri" w:hAnsi="Calibri" w:cs="Calibri"/>
                <w:lang w:val="en-AU"/>
              </w:rPr>
              <w:t xml:space="preserve"> What support may assist quick adoption?</w:t>
            </w:r>
          </w:p>
        </w:tc>
      </w:tr>
      <w:tr w:rsidR="00A622F9" w:rsidRPr="00495C2B" w14:paraId="72D5376C" w14:textId="77777777" w:rsidTr="51D6CCCB">
        <w:trPr>
          <w:trHeight w:val="60"/>
        </w:trPr>
        <w:tc>
          <w:tcPr>
            <w:tcW w:w="9634" w:type="dxa"/>
            <w:shd w:val="clear" w:color="auto" w:fill="auto"/>
            <w:vAlign w:val="center"/>
          </w:tcPr>
          <w:p w14:paraId="5EA81FB4" w14:textId="423A2B13" w:rsidR="006407B2" w:rsidRPr="00495C2B" w:rsidRDefault="006407B2" w:rsidP="006D5B66">
            <w:pPr>
              <w:spacing w:before="120" w:after="120"/>
              <w:rPr>
                <w:lang w:val="en-AU"/>
              </w:rPr>
            </w:pPr>
            <w:r w:rsidRPr="00722841">
              <w:rPr>
                <w:color w:val="000000" w:themeColor="text1"/>
                <w:lang w:val="en-AU"/>
              </w:rPr>
              <w:lastRenderedPageBreak/>
              <w:t>The terminology above could potentially be adopted in the second half of 2025 following revision of the accreditation documents</w:t>
            </w:r>
            <w:r w:rsidR="00722841" w:rsidRPr="00722841">
              <w:rPr>
                <w:color w:val="000000" w:themeColor="text1"/>
                <w:lang w:val="en-AU"/>
              </w:rPr>
              <w:t>.</w:t>
            </w:r>
          </w:p>
        </w:tc>
      </w:tr>
      <w:tr w:rsidR="00F64190" w:rsidRPr="00495C2B" w14:paraId="51DD668F" w14:textId="77777777" w:rsidTr="51D6CCCB">
        <w:tc>
          <w:tcPr>
            <w:tcW w:w="9634" w:type="dxa"/>
            <w:shd w:val="clear" w:color="auto" w:fill="2D7E8E" w:themeFill="accent3" w:themeFillShade="BF"/>
            <w:vAlign w:val="center"/>
          </w:tcPr>
          <w:p w14:paraId="16C655FC" w14:textId="2A609EFD" w:rsidR="00F64190" w:rsidRPr="00495C2B" w:rsidRDefault="00F64190" w:rsidP="00057AEA">
            <w:pPr>
              <w:spacing w:before="120" w:after="120"/>
              <w:rPr>
                <w:b/>
                <w:color w:val="F2F2F2" w:themeColor="background1" w:themeShade="F2"/>
                <w:lang w:val="en-AU"/>
              </w:rPr>
            </w:pPr>
            <w:r w:rsidRPr="00495C2B">
              <w:rPr>
                <w:b/>
                <w:color w:val="F2F2F2" w:themeColor="background1" w:themeShade="F2"/>
                <w:lang w:val="en-AU"/>
              </w:rPr>
              <w:t>Feedback regarding the risk matrix</w:t>
            </w:r>
          </w:p>
        </w:tc>
      </w:tr>
      <w:tr w:rsidR="00A622F9" w:rsidRPr="00495C2B" w14:paraId="616ACDD6" w14:textId="77777777" w:rsidTr="51D6CCCB">
        <w:trPr>
          <w:trHeight w:val="426"/>
        </w:trPr>
        <w:tc>
          <w:tcPr>
            <w:tcW w:w="9634" w:type="dxa"/>
            <w:shd w:val="clear" w:color="auto" w:fill="D7EEF2" w:themeFill="accent3" w:themeFillTint="33"/>
            <w:vAlign w:val="center"/>
          </w:tcPr>
          <w:p w14:paraId="78BC0DD0" w14:textId="7FE04E47" w:rsidR="00A622F9" w:rsidRPr="00495C2B" w:rsidRDefault="00DB345C" w:rsidP="006D5B66">
            <w:pPr>
              <w:keepNext/>
              <w:tabs>
                <w:tab w:val="left" w:pos="1764"/>
              </w:tabs>
              <w:rPr>
                <w:rFonts w:ascii="Calibri" w:hAnsi="Calibri" w:cs="Calibri"/>
                <w:lang w:val="en-AU"/>
              </w:rPr>
            </w:pPr>
            <w:r w:rsidRPr="00495C2B">
              <w:rPr>
                <w:rFonts w:ascii="Calibri" w:hAnsi="Calibri" w:cs="Calibri"/>
                <w:lang w:val="en-AU"/>
              </w:rPr>
              <w:t>Is the risk matrix appropriate for accreditation decision making?</w:t>
            </w:r>
          </w:p>
        </w:tc>
      </w:tr>
      <w:tr w:rsidR="00A622F9" w:rsidRPr="00495C2B" w14:paraId="6FBB2C17" w14:textId="77777777" w:rsidTr="51D6CCCB">
        <w:trPr>
          <w:trHeight w:val="60"/>
        </w:trPr>
        <w:tc>
          <w:tcPr>
            <w:tcW w:w="9634" w:type="dxa"/>
            <w:shd w:val="clear" w:color="auto" w:fill="auto"/>
            <w:vAlign w:val="center"/>
          </w:tcPr>
          <w:p w14:paraId="3E7B994E" w14:textId="1C9F55E4" w:rsidR="00C57B93" w:rsidRDefault="001A4516" w:rsidP="006D5B66">
            <w:pPr>
              <w:spacing w:before="120" w:after="120"/>
              <w:rPr>
                <w:lang w:val="en-AU"/>
              </w:rPr>
            </w:pPr>
            <w:r w:rsidRPr="51D6CCCB">
              <w:rPr>
                <w:lang w:val="en-AU"/>
              </w:rPr>
              <w:t>Yes</w:t>
            </w:r>
            <w:r w:rsidR="009C70AA" w:rsidRPr="51D6CCCB">
              <w:rPr>
                <w:lang w:val="en-AU"/>
              </w:rPr>
              <w:t>. The m</w:t>
            </w:r>
            <w:r w:rsidR="00A13EF7" w:rsidRPr="51D6CCCB">
              <w:rPr>
                <w:lang w:val="en-AU"/>
              </w:rPr>
              <w:t xml:space="preserve">atrix is helpful as a guide </w:t>
            </w:r>
            <w:r w:rsidR="009C70AA" w:rsidRPr="51D6CCCB">
              <w:rPr>
                <w:lang w:val="en-AU"/>
              </w:rPr>
              <w:t>however</w:t>
            </w:r>
            <w:r w:rsidR="00A13EF7" w:rsidRPr="51D6CCCB">
              <w:rPr>
                <w:lang w:val="en-AU"/>
              </w:rPr>
              <w:t xml:space="preserve"> shouldn’t be used as the final template to determine a status</w:t>
            </w:r>
            <w:r w:rsidR="00F6252C" w:rsidRPr="51D6CCCB">
              <w:rPr>
                <w:lang w:val="en-AU"/>
              </w:rPr>
              <w:t xml:space="preserve"> or as a replacement for our current system of requirements and recommendations which are brief and to the point usually. F</w:t>
            </w:r>
            <w:r w:rsidR="009C70AA" w:rsidRPr="51D6CCCB">
              <w:rPr>
                <w:lang w:val="en-AU"/>
              </w:rPr>
              <w:t>or example</w:t>
            </w:r>
            <w:r w:rsidR="00F6252C" w:rsidRPr="51D6CCCB">
              <w:rPr>
                <w:lang w:val="en-AU"/>
              </w:rPr>
              <w:t>,</w:t>
            </w:r>
            <w:r w:rsidR="009C70AA" w:rsidRPr="51D6CCCB">
              <w:rPr>
                <w:lang w:val="en-AU"/>
              </w:rPr>
              <w:t xml:space="preserve"> </w:t>
            </w:r>
            <w:r w:rsidR="00A13EF7" w:rsidRPr="51D6CCCB">
              <w:rPr>
                <w:lang w:val="en-AU"/>
              </w:rPr>
              <w:t xml:space="preserve">if there is a particular sticking point or issue on which a unit fails and consequently does not </w:t>
            </w:r>
            <w:r w:rsidR="6671131B" w:rsidRPr="51D6CCCB">
              <w:rPr>
                <w:lang w:val="en-AU"/>
              </w:rPr>
              <w:t>m</w:t>
            </w:r>
            <w:r w:rsidR="00A13EF7" w:rsidRPr="51D6CCCB">
              <w:rPr>
                <w:lang w:val="en-AU"/>
              </w:rPr>
              <w:t>eet accreditation this needs to be clear, as otherwise the unit will struggle to remedy requirements that ha</w:t>
            </w:r>
            <w:r w:rsidR="6A436D7D" w:rsidRPr="51D6CCCB">
              <w:rPr>
                <w:lang w:val="en-AU"/>
              </w:rPr>
              <w:t>ve</w:t>
            </w:r>
            <w:r w:rsidR="00A13EF7" w:rsidRPr="51D6CCCB">
              <w:rPr>
                <w:lang w:val="en-AU"/>
              </w:rPr>
              <w:t xml:space="preserve"> not been met</w:t>
            </w:r>
            <w:r w:rsidR="00C57B93" w:rsidRPr="51D6CCCB">
              <w:rPr>
                <w:lang w:val="en-AU"/>
              </w:rPr>
              <w:t>.</w:t>
            </w:r>
          </w:p>
          <w:p w14:paraId="59676C86" w14:textId="0171E916" w:rsidR="000A1202" w:rsidRPr="00495C2B" w:rsidRDefault="00F6252C" w:rsidP="006D5B66">
            <w:pPr>
              <w:spacing w:before="120" w:after="120"/>
              <w:rPr>
                <w:lang w:val="en-AU"/>
              </w:rPr>
            </w:pPr>
            <w:r>
              <w:rPr>
                <w:lang w:val="en-AU"/>
              </w:rPr>
              <w:t>In addition,</w:t>
            </w:r>
            <w:r w:rsidR="006D5B66">
              <w:rPr>
                <w:lang w:val="en-AU"/>
              </w:rPr>
              <w:t xml:space="preserve"> </w:t>
            </w:r>
            <w:r w:rsidR="000A1202" w:rsidRPr="00495C2B">
              <w:rPr>
                <w:lang w:val="en-AU"/>
              </w:rPr>
              <w:t>there is no way of including a risk to patient safety in the matrix. If patient safety issues highlight deficiencies in staffing, supervision, facilities or equipment impacting on trainees, it should be mandatory to impose a condition (and notify the relevant authority).</w:t>
            </w:r>
          </w:p>
        </w:tc>
      </w:tr>
      <w:tr w:rsidR="00A622F9" w:rsidRPr="00495C2B" w14:paraId="1C2ED015" w14:textId="77777777" w:rsidTr="51D6CCCB">
        <w:trPr>
          <w:trHeight w:val="841"/>
        </w:trPr>
        <w:tc>
          <w:tcPr>
            <w:tcW w:w="9634" w:type="dxa"/>
            <w:shd w:val="clear" w:color="auto" w:fill="D7EEF2" w:themeFill="accent3" w:themeFillTint="33"/>
            <w:vAlign w:val="center"/>
          </w:tcPr>
          <w:p w14:paraId="0B73A67B" w14:textId="6336498E" w:rsidR="003224DA" w:rsidRPr="00495C2B" w:rsidRDefault="00F81713" w:rsidP="00F81713">
            <w:pPr>
              <w:spacing w:before="120" w:after="120"/>
              <w:jc w:val="both"/>
              <w:rPr>
                <w:rFonts w:cstheme="minorHAnsi"/>
                <w:lang w:val="en-AU"/>
              </w:rPr>
            </w:pPr>
            <w:r w:rsidRPr="00495C2B">
              <w:rPr>
                <w:rFonts w:cstheme="minorHAnsi"/>
                <w:lang w:val="en-AU"/>
              </w:rPr>
              <w:t xml:space="preserve">The risk matrix </w:t>
            </w:r>
            <w:r w:rsidR="003224DA" w:rsidRPr="00495C2B">
              <w:rPr>
                <w:rFonts w:cstheme="minorHAnsi"/>
                <w:lang w:val="en-AU"/>
              </w:rPr>
              <w:t>allows</w:t>
            </w:r>
            <w:r w:rsidRPr="00495C2B">
              <w:rPr>
                <w:rFonts w:cstheme="minorHAnsi"/>
                <w:lang w:val="en-AU"/>
              </w:rPr>
              <w:t xml:space="preserve"> colleges to </w:t>
            </w:r>
            <w:r w:rsidR="003224DA" w:rsidRPr="00495C2B">
              <w:rPr>
                <w:rFonts w:cstheme="minorHAnsi"/>
                <w:lang w:val="en-AU"/>
              </w:rPr>
              <w:t xml:space="preserve">decide </w:t>
            </w:r>
            <w:proofErr w:type="gramStart"/>
            <w:r w:rsidR="004920E4" w:rsidRPr="00495C2B">
              <w:rPr>
                <w:rFonts w:cstheme="minorHAnsi"/>
                <w:lang w:val="en-AU"/>
              </w:rPr>
              <w:t xml:space="preserve">whether </w:t>
            </w:r>
            <w:r w:rsidR="0055198D" w:rsidRPr="00495C2B">
              <w:rPr>
                <w:rFonts w:cstheme="minorHAnsi"/>
                <w:lang w:val="en-AU"/>
              </w:rPr>
              <w:t>or not</w:t>
            </w:r>
            <w:proofErr w:type="gramEnd"/>
            <w:r w:rsidR="0055198D" w:rsidRPr="00495C2B">
              <w:rPr>
                <w:rFonts w:cstheme="minorHAnsi"/>
                <w:lang w:val="en-AU"/>
              </w:rPr>
              <w:t xml:space="preserve"> </w:t>
            </w:r>
            <w:r w:rsidR="003224DA" w:rsidRPr="00495C2B">
              <w:rPr>
                <w:rFonts w:cstheme="minorHAnsi"/>
                <w:lang w:val="en-AU"/>
              </w:rPr>
              <w:t xml:space="preserve">to </w:t>
            </w:r>
            <w:r w:rsidRPr="00495C2B">
              <w:rPr>
                <w:rFonts w:cstheme="minorHAnsi"/>
                <w:lang w:val="en-AU"/>
              </w:rPr>
              <w:t xml:space="preserve">impose a condition where the </w:t>
            </w:r>
            <w:r w:rsidR="003224DA" w:rsidRPr="00495C2B">
              <w:rPr>
                <w:rFonts w:cstheme="minorHAnsi"/>
                <w:lang w:val="en-AU"/>
              </w:rPr>
              <w:t xml:space="preserve">criteria are substantially met or not met but the </w:t>
            </w:r>
            <w:r w:rsidRPr="00495C2B">
              <w:rPr>
                <w:rFonts w:cstheme="minorHAnsi"/>
                <w:lang w:val="en-AU"/>
              </w:rPr>
              <w:t xml:space="preserve">overall risk assessment is low. </w:t>
            </w:r>
          </w:p>
          <w:p w14:paraId="7A975F45" w14:textId="61B065C4" w:rsidR="003224DA" w:rsidRPr="00495C2B" w:rsidRDefault="00F81713" w:rsidP="00BA3343">
            <w:pPr>
              <w:spacing w:before="120" w:after="120"/>
              <w:jc w:val="both"/>
              <w:rPr>
                <w:rFonts w:cstheme="minorHAnsi"/>
                <w:lang w:val="en-AU"/>
              </w:rPr>
            </w:pPr>
            <w:r w:rsidRPr="00495C2B">
              <w:rPr>
                <w:rFonts w:cstheme="minorHAnsi"/>
                <w:lang w:val="en-AU"/>
              </w:rPr>
              <w:t>Is this appropriate</w:t>
            </w:r>
            <w:r w:rsidR="003224DA" w:rsidRPr="00495C2B">
              <w:rPr>
                <w:rFonts w:cstheme="minorHAnsi"/>
                <w:lang w:val="en-AU"/>
              </w:rPr>
              <w:t xml:space="preserve"> or should there be a</w:t>
            </w:r>
            <w:r w:rsidRPr="00495C2B">
              <w:rPr>
                <w:rFonts w:cstheme="minorHAnsi"/>
                <w:lang w:val="en-AU"/>
              </w:rPr>
              <w:t xml:space="preserve"> requirement for a condition to be imposed for any criterion assessed as ‘substantially met’ or ‘not met’</w:t>
            </w:r>
            <w:r w:rsidR="003224DA" w:rsidRPr="00495C2B">
              <w:rPr>
                <w:rFonts w:cstheme="minorHAnsi"/>
                <w:lang w:val="en-AU"/>
              </w:rPr>
              <w:t>?</w:t>
            </w:r>
            <w:r w:rsidR="00BA3343" w:rsidRPr="00495C2B">
              <w:rPr>
                <w:rFonts w:cstheme="minorHAnsi"/>
                <w:lang w:val="en-AU"/>
              </w:rPr>
              <w:t xml:space="preserve"> </w:t>
            </w:r>
            <w:r w:rsidR="003224DA" w:rsidRPr="00495C2B">
              <w:rPr>
                <w:rFonts w:cstheme="minorHAnsi"/>
                <w:lang w:val="en-AU"/>
              </w:rPr>
              <w:t>Please explain your views</w:t>
            </w:r>
            <w:r w:rsidR="00C91B03" w:rsidRPr="00495C2B">
              <w:rPr>
                <w:rFonts w:cstheme="minorHAnsi"/>
                <w:lang w:val="en-AU"/>
              </w:rPr>
              <w:t>.</w:t>
            </w:r>
          </w:p>
        </w:tc>
      </w:tr>
      <w:tr w:rsidR="00A622F9" w:rsidRPr="00495C2B" w14:paraId="2AD87CCB" w14:textId="77777777" w:rsidTr="51D6CCCB">
        <w:trPr>
          <w:trHeight w:val="60"/>
        </w:trPr>
        <w:tc>
          <w:tcPr>
            <w:tcW w:w="9634" w:type="dxa"/>
            <w:shd w:val="clear" w:color="auto" w:fill="auto"/>
            <w:vAlign w:val="center"/>
          </w:tcPr>
          <w:p w14:paraId="4AF16C67" w14:textId="43823899" w:rsidR="00C45520" w:rsidRPr="00495C2B" w:rsidRDefault="00BC0987" w:rsidP="00751C51">
            <w:pPr>
              <w:spacing w:before="120" w:after="120"/>
              <w:rPr>
                <w:lang w:val="en-AU"/>
              </w:rPr>
            </w:pPr>
            <w:r w:rsidRPr="51D6CCCB">
              <w:rPr>
                <w:lang w:val="en-AU"/>
              </w:rPr>
              <w:t>F</w:t>
            </w:r>
            <w:r w:rsidR="00C45520" w:rsidRPr="51D6CCCB">
              <w:rPr>
                <w:lang w:val="en-AU"/>
              </w:rPr>
              <w:t xml:space="preserve">or </w:t>
            </w:r>
            <w:r w:rsidRPr="51D6CCCB">
              <w:rPr>
                <w:lang w:val="en-AU"/>
              </w:rPr>
              <w:t xml:space="preserve">criterion that is </w:t>
            </w:r>
            <w:r w:rsidR="00C45520" w:rsidRPr="51D6CCCB">
              <w:rPr>
                <w:lang w:val="en-AU"/>
              </w:rPr>
              <w:t xml:space="preserve">not met or substantially met, </w:t>
            </w:r>
            <w:r w:rsidR="68BA7CA4" w:rsidRPr="51D6CCCB">
              <w:rPr>
                <w:lang w:val="en-AU"/>
              </w:rPr>
              <w:t xml:space="preserve">the </w:t>
            </w:r>
            <w:r w:rsidR="00C45520" w:rsidRPr="51D6CCCB">
              <w:rPr>
                <w:lang w:val="en-AU"/>
              </w:rPr>
              <w:t>requirement should be explained so the training setting can be changed/modified to achieve the requirement</w:t>
            </w:r>
            <w:r w:rsidRPr="51D6CCCB">
              <w:rPr>
                <w:lang w:val="en-AU"/>
              </w:rPr>
              <w:t xml:space="preserve">. </w:t>
            </w:r>
          </w:p>
        </w:tc>
      </w:tr>
      <w:tr w:rsidR="00A622F9" w:rsidRPr="00495C2B" w14:paraId="5D602A0C" w14:textId="77777777" w:rsidTr="51D6CCCB">
        <w:trPr>
          <w:trHeight w:val="841"/>
        </w:trPr>
        <w:tc>
          <w:tcPr>
            <w:tcW w:w="9634" w:type="dxa"/>
            <w:shd w:val="clear" w:color="auto" w:fill="D7EEF2" w:themeFill="accent3" w:themeFillTint="33"/>
            <w:vAlign w:val="center"/>
          </w:tcPr>
          <w:p w14:paraId="4E383543" w14:textId="4A906368" w:rsidR="00A622F9" w:rsidRPr="00495C2B" w:rsidRDefault="003224DA" w:rsidP="00057AEA">
            <w:pPr>
              <w:spacing w:before="120" w:after="120"/>
              <w:jc w:val="both"/>
              <w:rPr>
                <w:rFonts w:cstheme="minorHAnsi"/>
                <w:lang w:val="en-AU"/>
              </w:rPr>
            </w:pPr>
            <w:r w:rsidRPr="00495C2B">
              <w:rPr>
                <w:rFonts w:ascii="Calibri" w:hAnsi="Calibri" w:cs="Calibri"/>
                <w:lang w:val="en-AU"/>
              </w:rPr>
              <w:t>T</w:t>
            </w:r>
            <w:r w:rsidR="00A24EEB" w:rsidRPr="00495C2B">
              <w:rPr>
                <w:rFonts w:ascii="Calibri" w:hAnsi="Calibri" w:cs="Calibri"/>
                <w:lang w:val="en-AU"/>
              </w:rPr>
              <w:t>he risk matrix</w:t>
            </w:r>
            <w:r w:rsidRPr="00495C2B">
              <w:rPr>
                <w:rFonts w:ascii="Calibri" w:hAnsi="Calibri" w:cs="Calibri"/>
                <w:lang w:val="en-AU"/>
              </w:rPr>
              <w:t xml:space="preserve"> indicates that steps to </w:t>
            </w:r>
            <w:r w:rsidR="00A24EEB" w:rsidRPr="00495C2B">
              <w:rPr>
                <w:rFonts w:ascii="Calibri" w:hAnsi="Calibri" w:cs="Calibri"/>
                <w:lang w:val="en-AU"/>
              </w:rPr>
              <w:t xml:space="preserve">revoke accreditation </w:t>
            </w:r>
            <w:r w:rsidRPr="00495C2B">
              <w:rPr>
                <w:rFonts w:ascii="Calibri" w:hAnsi="Calibri" w:cs="Calibri"/>
                <w:lang w:val="en-AU"/>
              </w:rPr>
              <w:t xml:space="preserve">should be taken </w:t>
            </w:r>
            <w:r w:rsidR="00A24EEB" w:rsidRPr="00495C2B">
              <w:rPr>
                <w:rFonts w:ascii="Calibri" w:hAnsi="Calibri" w:cs="Calibri"/>
                <w:lang w:val="en-AU"/>
              </w:rPr>
              <w:t>when the overall risk assessment is extreme. Is this appropriate?</w:t>
            </w:r>
          </w:p>
        </w:tc>
      </w:tr>
      <w:tr w:rsidR="00183980" w:rsidRPr="00183980" w14:paraId="44F796E2" w14:textId="77777777" w:rsidTr="51D6CCCB">
        <w:trPr>
          <w:trHeight w:val="60"/>
        </w:trPr>
        <w:tc>
          <w:tcPr>
            <w:tcW w:w="9634" w:type="dxa"/>
            <w:shd w:val="clear" w:color="auto" w:fill="auto"/>
            <w:vAlign w:val="center"/>
          </w:tcPr>
          <w:p w14:paraId="4D39FEFA" w14:textId="7120EF99" w:rsidR="00004B26" w:rsidRPr="00183980" w:rsidRDefault="00004B26" w:rsidP="00183980">
            <w:pPr>
              <w:spacing w:before="120" w:after="120"/>
              <w:rPr>
                <w:color w:val="000000" w:themeColor="text1"/>
                <w:lang w:val="en-AU"/>
              </w:rPr>
            </w:pPr>
            <w:r w:rsidRPr="00183980">
              <w:rPr>
                <w:color w:val="000000" w:themeColor="text1"/>
                <w:lang w:val="en-AU"/>
              </w:rPr>
              <w:t>Yes</w:t>
            </w:r>
            <w:r w:rsidR="00183980" w:rsidRPr="00183980">
              <w:rPr>
                <w:color w:val="000000" w:themeColor="text1"/>
                <w:lang w:val="en-AU"/>
              </w:rPr>
              <w:t xml:space="preserve">, </w:t>
            </w:r>
            <w:r w:rsidRPr="00183980">
              <w:rPr>
                <w:color w:val="000000" w:themeColor="text1"/>
                <w:lang w:val="en-AU"/>
              </w:rPr>
              <w:t>the safety of the public and trainees should be foremost in these decisions. A dysfunctional training setting affects both public safety and trainee opportunities/satisfaction</w:t>
            </w:r>
            <w:r w:rsidR="00183980" w:rsidRPr="00183980">
              <w:rPr>
                <w:color w:val="000000" w:themeColor="text1"/>
                <w:lang w:val="en-AU"/>
              </w:rPr>
              <w:t>, noting conditional accreditation may be up to 5 years.</w:t>
            </w:r>
          </w:p>
        </w:tc>
      </w:tr>
      <w:tr w:rsidR="00AA5846" w:rsidRPr="00495C2B" w14:paraId="7C67CB27" w14:textId="77777777" w:rsidTr="51D6CCCB">
        <w:tc>
          <w:tcPr>
            <w:tcW w:w="9634" w:type="dxa"/>
            <w:shd w:val="clear" w:color="auto" w:fill="2D7E8E" w:themeFill="accent3" w:themeFillShade="BF"/>
            <w:vAlign w:val="center"/>
          </w:tcPr>
          <w:p w14:paraId="7606C2B0" w14:textId="77777777" w:rsidR="00AA5846" w:rsidRPr="00495C2B" w:rsidRDefault="00AA5846" w:rsidP="00057AEA">
            <w:pPr>
              <w:spacing w:before="120" w:after="120"/>
              <w:rPr>
                <w:b/>
                <w:color w:val="F2F2F2" w:themeColor="background1" w:themeShade="F2"/>
                <w:lang w:val="en-AU"/>
              </w:rPr>
            </w:pPr>
            <w:r w:rsidRPr="00495C2B">
              <w:rPr>
                <w:b/>
                <w:color w:val="F2F2F2" w:themeColor="background1" w:themeShade="F2"/>
                <w:lang w:val="en-AU"/>
              </w:rPr>
              <w:t>Other feedback</w:t>
            </w:r>
          </w:p>
        </w:tc>
      </w:tr>
      <w:tr w:rsidR="00AA5846" w:rsidRPr="00495C2B" w14:paraId="7D478CF3" w14:textId="77777777" w:rsidTr="51D6CCCB">
        <w:trPr>
          <w:trHeight w:val="513"/>
        </w:trPr>
        <w:tc>
          <w:tcPr>
            <w:tcW w:w="9634" w:type="dxa"/>
            <w:shd w:val="clear" w:color="auto" w:fill="D7EEF2" w:themeFill="accent3" w:themeFillTint="33"/>
            <w:vAlign w:val="center"/>
          </w:tcPr>
          <w:p w14:paraId="34E982B1" w14:textId="49E7CC4F" w:rsidR="00AA5846" w:rsidRPr="00495C2B" w:rsidRDefault="00AA5846" w:rsidP="00057AEA">
            <w:pPr>
              <w:spacing w:before="120" w:after="120"/>
              <w:jc w:val="both"/>
              <w:rPr>
                <w:rFonts w:cstheme="minorHAnsi"/>
                <w:lang w:val="en-AU"/>
              </w:rPr>
            </w:pPr>
            <w:r w:rsidRPr="00495C2B">
              <w:rPr>
                <w:rFonts w:eastAsia="Times New Roman" w:cstheme="minorHAnsi"/>
                <w:lang w:val="en-AU" w:eastAsia="en-AU"/>
              </w:rPr>
              <w:t xml:space="preserve">Do you have any additional comments regarding the model procedures </w:t>
            </w:r>
            <w:r w:rsidRPr="00495C2B">
              <w:rPr>
                <w:rFonts w:ascii="Calibri" w:hAnsi="Calibri" w:cs="Calibri"/>
                <w:lang w:val="en-AU"/>
              </w:rPr>
              <w:t>that are not covered above</w:t>
            </w:r>
            <w:r w:rsidRPr="00495C2B">
              <w:rPr>
                <w:rFonts w:eastAsia="Times New Roman" w:cstheme="minorHAnsi"/>
                <w:lang w:val="en-AU" w:eastAsia="en-AU"/>
              </w:rPr>
              <w:t>?</w:t>
            </w:r>
          </w:p>
        </w:tc>
      </w:tr>
      <w:tr w:rsidR="00AA5846" w:rsidRPr="00495C2B" w14:paraId="744C5A88" w14:textId="77777777" w:rsidTr="51D6CCCB">
        <w:trPr>
          <w:trHeight w:val="60"/>
        </w:trPr>
        <w:tc>
          <w:tcPr>
            <w:tcW w:w="9634" w:type="dxa"/>
            <w:shd w:val="clear" w:color="auto" w:fill="auto"/>
            <w:vAlign w:val="center"/>
          </w:tcPr>
          <w:p w14:paraId="40D676EA" w14:textId="3BC6AA41" w:rsidR="000E18AA" w:rsidRPr="000E18AA" w:rsidRDefault="000E18AA" w:rsidP="00055DD1">
            <w:pPr>
              <w:spacing w:before="120"/>
              <w:rPr>
                <w:b/>
                <w:bCs/>
                <w:lang w:val="en-AU"/>
              </w:rPr>
            </w:pPr>
            <w:r w:rsidRPr="000E18AA">
              <w:rPr>
                <w:b/>
                <w:bCs/>
                <w:lang w:val="en-AU"/>
              </w:rPr>
              <w:t>Having sufficient trainees</w:t>
            </w:r>
          </w:p>
          <w:p w14:paraId="4D090B65" w14:textId="5505212C" w:rsidR="003716A4" w:rsidRDefault="003716A4" w:rsidP="00055DD1">
            <w:pPr>
              <w:spacing w:before="120"/>
              <w:rPr>
                <w:lang w:val="en-AU"/>
              </w:rPr>
            </w:pPr>
            <w:r w:rsidRPr="00495C2B">
              <w:rPr>
                <w:lang w:val="en-AU"/>
              </w:rPr>
              <w:t xml:space="preserve">Consider adding that maintenance of accreditation requires having trainees. If there are no trainees for </w:t>
            </w:r>
            <w:proofErr w:type="gramStart"/>
            <w:r w:rsidRPr="00495C2B">
              <w:rPr>
                <w:lang w:val="en-AU"/>
              </w:rPr>
              <w:t>a period of time</w:t>
            </w:r>
            <w:proofErr w:type="gramEnd"/>
            <w:r w:rsidRPr="00495C2B">
              <w:rPr>
                <w:lang w:val="en-AU"/>
              </w:rPr>
              <w:t>, should the accreditation be considered lapsed (similar to clause in provisional accreditation)</w:t>
            </w:r>
            <w:r w:rsidR="00B42EA4">
              <w:rPr>
                <w:lang w:val="en-AU"/>
              </w:rPr>
              <w:t>?</w:t>
            </w:r>
          </w:p>
          <w:p w14:paraId="3F2BE971" w14:textId="5FDB727D" w:rsidR="000E18AA" w:rsidRPr="000E18AA" w:rsidRDefault="000E18AA" w:rsidP="00055DD1">
            <w:pPr>
              <w:spacing w:before="120"/>
              <w:rPr>
                <w:b/>
                <w:bCs/>
                <w:lang w:val="en-AU"/>
              </w:rPr>
            </w:pPr>
            <w:r w:rsidRPr="000E18AA">
              <w:rPr>
                <w:b/>
                <w:bCs/>
                <w:lang w:val="en-AU"/>
              </w:rPr>
              <w:t>Obligation on the training unit/setting to advise the college</w:t>
            </w:r>
          </w:p>
          <w:p w14:paraId="2496F2A1" w14:textId="5F72DFEB" w:rsidR="003716A4" w:rsidRPr="00495C2B" w:rsidRDefault="003716A4" w:rsidP="00055DD1">
            <w:pPr>
              <w:spacing w:before="120" w:after="120"/>
              <w:rPr>
                <w:lang w:val="en-AU"/>
              </w:rPr>
            </w:pPr>
            <w:r w:rsidRPr="00495C2B">
              <w:rPr>
                <w:lang w:val="en-AU"/>
              </w:rPr>
              <w:t>The document doesn’t appear to set out the obligation on the training unit/setting to advise the college if they no longer meet the standards and therefore can no longer support training. It isn’t solely the responsibility of the college to identify that a training unit no longer achieves the accreditation requirements. The document also needs to set out the obligation for training units/settings to provide information/documentation within timeframes stipulated by the process.</w:t>
            </w:r>
          </w:p>
          <w:p w14:paraId="2BFAD166" w14:textId="36EB7480" w:rsidR="00F45865" w:rsidRPr="00445681" w:rsidRDefault="00243543" w:rsidP="00055DD1">
            <w:pPr>
              <w:spacing w:before="120" w:after="120"/>
              <w:rPr>
                <w:b/>
                <w:bCs/>
                <w:color w:val="000000" w:themeColor="text1"/>
                <w:lang w:val="en-AU"/>
              </w:rPr>
            </w:pPr>
            <w:r w:rsidRPr="00445681">
              <w:rPr>
                <w:b/>
                <w:bCs/>
                <w:color w:val="000000" w:themeColor="text1"/>
                <w:lang w:val="en-AU"/>
              </w:rPr>
              <w:t>“Reasonable” timeframe and “extended periods” terms</w:t>
            </w:r>
          </w:p>
          <w:p w14:paraId="3CF73F83" w14:textId="589827B7" w:rsidR="00F43F54" w:rsidRPr="00495C2B" w:rsidRDefault="00F43F54" w:rsidP="00055DD1">
            <w:pPr>
              <w:spacing w:before="120" w:after="120"/>
              <w:rPr>
                <w:lang w:val="en-AU"/>
              </w:rPr>
            </w:pPr>
            <w:r w:rsidRPr="00445681">
              <w:rPr>
                <w:color w:val="000000" w:themeColor="text1"/>
                <w:lang w:val="en-AU"/>
              </w:rPr>
              <w:t xml:space="preserve">In a number of these procedures there are references to </w:t>
            </w:r>
            <w:r w:rsidR="00243543" w:rsidRPr="00445681">
              <w:rPr>
                <w:color w:val="000000" w:themeColor="text1"/>
                <w:lang w:val="en-AU"/>
              </w:rPr>
              <w:t>“</w:t>
            </w:r>
            <w:r w:rsidRPr="00445681">
              <w:rPr>
                <w:color w:val="000000" w:themeColor="text1"/>
                <w:lang w:val="en-AU"/>
              </w:rPr>
              <w:t>reasonable</w:t>
            </w:r>
            <w:r w:rsidR="00243543" w:rsidRPr="00445681">
              <w:rPr>
                <w:color w:val="000000" w:themeColor="text1"/>
                <w:lang w:val="en-AU"/>
              </w:rPr>
              <w:t>”</w:t>
            </w:r>
            <w:r w:rsidRPr="00445681">
              <w:rPr>
                <w:color w:val="000000" w:themeColor="text1"/>
                <w:lang w:val="en-AU"/>
              </w:rPr>
              <w:t xml:space="preserve"> timeframes and “extended periods” –</w:t>
            </w:r>
            <w:r w:rsidR="00243543" w:rsidRPr="00445681">
              <w:rPr>
                <w:color w:val="000000" w:themeColor="text1"/>
                <w:lang w:val="en-AU"/>
              </w:rPr>
              <w:t xml:space="preserve"> </w:t>
            </w:r>
            <w:r w:rsidRPr="00445681">
              <w:rPr>
                <w:color w:val="000000" w:themeColor="text1"/>
                <w:lang w:val="en-AU"/>
              </w:rPr>
              <w:t xml:space="preserve">these terms are too nebulous and need to be stipulated. Training providers and jurisdictions move at glacial speed. If it is important enough to be identified as an issue for accreditation for the provision of training, there is a requirement for a </w:t>
            </w:r>
            <w:r w:rsidR="00445681" w:rsidRPr="00445681">
              <w:rPr>
                <w:color w:val="000000" w:themeColor="text1"/>
                <w:lang w:val="en-AU"/>
              </w:rPr>
              <w:t>timeframe</w:t>
            </w:r>
            <w:r w:rsidRPr="00445681">
              <w:rPr>
                <w:color w:val="000000" w:themeColor="text1"/>
                <w:lang w:val="en-AU"/>
              </w:rPr>
              <w:t xml:space="preserve"> to be assigned</w:t>
            </w:r>
            <w:r w:rsidR="00445681" w:rsidRPr="00445681">
              <w:rPr>
                <w:color w:val="000000" w:themeColor="text1"/>
                <w:lang w:val="en-AU"/>
              </w:rPr>
              <w:t>.</w:t>
            </w:r>
          </w:p>
        </w:tc>
      </w:tr>
    </w:tbl>
    <w:p w14:paraId="2CEA0312" w14:textId="77777777" w:rsidR="005C2035" w:rsidRPr="00495C2B" w:rsidRDefault="005C2035" w:rsidP="00953626">
      <w:pPr>
        <w:spacing w:before="120"/>
      </w:pPr>
    </w:p>
    <w:tbl>
      <w:tblPr>
        <w:tblStyle w:val="TableGrid"/>
        <w:tblW w:w="9634" w:type="dxa"/>
        <w:tblLook w:val="04A0" w:firstRow="1" w:lastRow="0" w:firstColumn="1" w:lastColumn="0" w:noHBand="0" w:noVBand="1"/>
      </w:tblPr>
      <w:tblGrid>
        <w:gridCol w:w="3397"/>
        <w:gridCol w:w="6237"/>
      </w:tblGrid>
      <w:tr w:rsidR="003A5EB1" w:rsidRPr="00495C2B" w14:paraId="166D6FEC" w14:textId="77777777" w:rsidTr="51D6CCCB">
        <w:trPr>
          <w:trHeight w:val="567"/>
        </w:trPr>
        <w:tc>
          <w:tcPr>
            <w:tcW w:w="9634" w:type="dxa"/>
            <w:gridSpan w:val="2"/>
            <w:tcBorders>
              <w:right w:val="single" w:sz="8" w:space="0" w:color="auto"/>
            </w:tcBorders>
            <w:shd w:val="clear" w:color="auto" w:fill="2D7E8E" w:themeFill="accent3" w:themeFillShade="BF"/>
            <w:vAlign w:val="center"/>
          </w:tcPr>
          <w:p w14:paraId="01578A9E" w14:textId="5CD19602" w:rsidR="003A5EB1" w:rsidRPr="00495C2B" w:rsidRDefault="003A5EB1" w:rsidP="00057AEA">
            <w:pPr>
              <w:spacing w:before="120" w:after="120"/>
              <w:rPr>
                <w:color w:val="F2F2F2" w:themeColor="background1" w:themeShade="F2"/>
                <w:sz w:val="26"/>
                <w:szCs w:val="26"/>
                <w:lang w:val="en-AU"/>
              </w:rPr>
            </w:pPr>
            <w:r w:rsidRPr="00495C2B">
              <w:rPr>
                <w:b/>
                <w:color w:val="F2F2F2" w:themeColor="background1" w:themeShade="F2"/>
                <w:sz w:val="26"/>
                <w:szCs w:val="26"/>
                <w:lang w:val="en-AU"/>
              </w:rPr>
              <w:lastRenderedPageBreak/>
              <w:t>Organisational details and contact</w:t>
            </w:r>
          </w:p>
        </w:tc>
      </w:tr>
      <w:tr w:rsidR="005C2035" w:rsidRPr="00495C2B" w14:paraId="727DC2DC" w14:textId="77777777" w:rsidTr="51D6CCCB">
        <w:trPr>
          <w:trHeight w:val="567"/>
        </w:trPr>
        <w:tc>
          <w:tcPr>
            <w:tcW w:w="3397" w:type="dxa"/>
            <w:shd w:val="clear" w:color="auto" w:fill="D7EEF2" w:themeFill="accent3" w:themeFillTint="33"/>
            <w:vAlign w:val="center"/>
          </w:tcPr>
          <w:p w14:paraId="7F6B5DC4" w14:textId="77777777" w:rsidR="005C2035" w:rsidRPr="00495C2B" w:rsidRDefault="005C2035" w:rsidP="00057AEA">
            <w:pPr>
              <w:spacing w:before="120" w:after="120"/>
              <w:rPr>
                <w:b/>
                <w:bCs/>
                <w:lang w:val="en-AU"/>
              </w:rPr>
            </w:pPr>
            <w:r w:rsidRPr="00495C2B">
              <w:rPr>
                <w:b/>
                <w:bCs/>
                <w:lang w:val="en-AU"/>
              </w:rPr>
              <w:t>Organisation name/details:</w:t>
            </w:r>
          </w:p>
        </w:tc>
        <w:tc>
          <w:tcPr>
            <w:tcW w:w="6237" w:type="dxa"/>
            <w:vAlign w:val="center"/>
          </w:tcPr>
          <w:p w14:paraId="54F913E9" w14:textId="4C120FB5" w:rsidR="005C2035" w:rsidRPr="00495C2B" w:rsidRDefault="53349537" w:rsidP="00057AEA">
            <w:pPr>
              <w:spacing w:before="120" w:after="120"/>
              <w:rPr>
                <w:lang w:val="en-AU"/>
              </w:rPr>
            </w:pPr>
            <w:r w:rsidRPr="51D6CCCB">
              <w:rPr>
                <w:lang w:val="en-AU"/>
              </w:rPr>
              <w:t>Australian and New Zealand College of An</w:t>
            </w:r>
            <w:r w:rsidR="4FCA67BF" w:rsidRPr="51D6CCCB">
              <w:rPr>
                <w:lang w:val="en-AU"/>
              </w:rPr>
              <w:t>a</w:t>
            </w:r>
            <w:r w:rsidRPr="51D6CCCB">
              <w:rPr>
                <w:lang w:val="en-AU"/>
              </w:rPr>
              <w:t>esthetists (ANZCA)</w:t>
            </w:r>
          </w:p>
        </w:tc>
      </w:tr>
      <w:tr w:rsidR="005C2035" w:rsidRPr="00495C2B" w14:paraId="6CD5F406" w14:textId="77777777" w:rsidTr="51D6CCCB">
        <w:trPr>
          <w:trHeight w:val="567"/>
        </w:trPr>
        <w:tc>
          <w:tcPr>
            <w:tcW w:w="3397" w:type="dxa"/>
            <w:shd w:val="clear" w:color="auto" w:fill="D7EEF2" w:themeFill="accent3" w:themeFillTint="33"/>
            <w:vAlign w:val="center"/>
          </w:tcPr>
          <w:p w14:paraId="5DA95D5E" w14:textId="77777777" w:rsidR="005C2035" w:rsidRPr="00495C2B" w:rsidRDefault="005C2035" w:rsidP="00057AEA">
            <w:pPr>
              <w:spacing w:before="120" w:after="120"/>
              <w:rPr>
                <w:b/>
                <w:bCs/>
                <w:lang w:val="en-AU"/>
              </w:rPr>
            </w:pPr>
            <w:r w:rsidRPr="00495C2B">
              <w:rPr>
                <w:b/>
                <w:bCs/>
                <w:lang w:val="en-AU"/>
              </w:rPr>
              <w:t>Contact name:</w:t>
            </w:r>
          </w:p>
        </w:tc>
        <w:tc>
          <w:tcPr>
            <w:tcW w:w="6237" w:type="dxa"/>
            <w:vAlign w:val="center"/>
          </w:tcPr>
          <w:p w14:paraId="456FCB45" w14:textId="72E855FB" w:rsidR="005C2035" w:rsidRPr="00495C2B" w:rsidRDefault="53349537" w:rsidP="00057AEA">
            <w:pPr>
              <w:spacing w:before="120" w:after="120"/>
              <w:rPr>
                <w:lang w:val="en-AU"/>
              </w:rPr>
            </w:pPr>
            <w:r w:rsidRPr="51D6CCCB">
              <w:rPr>
                <w:lang w:val="en-AU"/>
              </w:rPr>
              <w:t>Nigel</w:t>
            </w:r>
            <w:r w:rsidR="3B377DB4" w:rsidRPr="51D6CCCB">
              <w:rPr>
                <w:lang w:val="en-AU"/>
              </w:rPr>
              <w:t xml:space="preserve"> Fidgeon</w:t>
            </w:r>
            <w:r w:rsidR="752892AC" w:rsidRPr="51D6CCCB">
              <w:rPr>
                <w:lang w:val="en-AU"/>
              </w:rPr>
              <w:t xml:space="preserve"> – Chief Executive Officer</w:t>
            </w:r>
          </w:p>
        </w:tc>
      </w:tr>
      <w:tr w:rsidR="005C2035" w:rsidRPr="00495C2B" w14:paraId="6B684627" w14:textId="77777777" w:rsidTr="51D6CCCB">
        <w:trPr>
          <w:trHeight w:val="567"/>
        </w:trPr>
        <w:tc>
          <w:tcPr>
            <w:tcW w:w="3397" w:type="dxa"/>
            <w:shd w:val="clear" w:color="auto" w:fill="D7EEF2" w:themeFill="accent3" w:themeFillTint="33"/>
            <w:vAlign w:val="center"/>
          </w:tcPr>
          <w:p w14:paraId="66FF81D7" w14:textId="77777777" w:rsidR="005C2035" w:rsidRPr="00495C2B" w:rsidRDefault="005C2035" w:rsidP="00057AEA">
            <w:pPr>
              <w:spacing w:before="120" w:after="120"/>
              <w:rPr>
                <w:b/>
                <w:bCs/>
                <w:lang w:val="en-AU"/>
              </w:rPr>
            </w:pPr>
            <w:r w:rsidRPr="00495C2B">
              <w:rPr>
                <w:b/>
                <w:bCs/>
                <w:lang w:val="en-AU"/>
              </w:rPr>
              <w:t>Contact email:</w:t>
            </w:r>
          </w:p>
        </w:tc>
        <w:tc>
          <w:tcPr>
            <w:tcW w:w="6237" w:type="dxa"/>
            <w:vAlign w:val="center"/>
          </w:tcPr>
          <w:p w14:paraId="7324F217" w14:textId="1A5B3453" w:rsidR="005C2035" w:rsidRPr="00495C2B" w:rsidRDefault="00C269AC" w:rsidP="00057AEA">
            <w:pPr>
              <w:spacing w:before="120" w:after="120"/>
              <w:rPr>
                <w:lang w:val="en-AU"/>
              </w:rPr>
            </w:pPr>
            <w:hyperlink r:id="rId12" w:history="1">
              <w:r w:rsidRPr="00495C2B">
                <w:rPr>
                  <w:rStyle w:val="Hyperlink"/>
                  <w:lang w:val="en-AU"/>
                </w:rPr>
                <w:t>nfidgeon@anzca.edu.au</w:t>
              </w:r>
            </w:hyperlink>
            <w:r w:rsidRPr="00495C2B">
              <w:rPr>
                <w:lang w:val="en-AU"/>
              </w:rPr>
              <w:t xml:space="preserve"> </w:t>
            </w:r>
          </w:p>
        </w:tc>
      </w:tr>
    </w:tbl>
    <w:p w14:paraId="0CC8F556" w14:textId="77777777" w:rsidR="0005315B" w:rsidRPr="00495C2B" w:rsidRDefault="0005315B" w:rsidP="0005315B"/>
    <w:tbl>
      <w:tblPr>
        <w:tblStyle w:val="TableGrid"/>
        <w:tblW w:w="9634" w:type="dxa"/>
        <w:tblLook w:val="04A0" w:firstRow="1" w:lastRow="0" w:firstColumn="1" w:lastColumn="0" w:noHBand="0" w:noVBand="1"/>
      </w:tblPr>
      <w:tblGrid>
        <w:gridCol w:w="696"/>
        <w:gridCol w:w="8938"/>
      </w:tblGrid>
      <w:tr w:rsidR="0005315B" w:rsidRPr="00495C2B" w14:paraId="237941B8" w14:textId="77777777" w:rsidTr="00057AEA">
        <w:trPr>
          <w:trHeight w:val="841"/>
        </w:trPr>
        <w:tc>
          <w:tcPr>
            <w:tcW w:w="9634" w:type="dxa"/>
            <w:gridSpan w:val="2"/>
            <w:tcBorders>
              <w:bottom w:val="single" w:sz="4" w:space="0" w:color="auto"/>
            </w:tcBorders>
            <w:shd w:val="clear" w:color="auto" w:fill="D7EEF2" w:themeFill="background2" w:themeFillTint="33"/>
            <w:vAlign w:val="center"/>
          </w:tcPr>
          <w:p w14:paraId="1478A941" w14:textId="77777777" w:rsidR="0005315B" w:rsidRPr="00495C2B" w:rsidRDefault="0005315B" w:rsidP="00057AEA">
            <w:pPr>
              <w:spacing w:before="120" w:after="120"/>
              <w:jc w:val="both"/>
              <w:rPr>
                <w:rFonts w:eastAsia="Times New Roman" w:cstheme="minorHAnsi"/>
                <w:lang w:val="en-AU" w:eastAsia="en-AU"/>
              </w:rPr>
            </w:pPr>
            <w:r w:rsidRPr="00495C2B">
              <w:rPr>
                <w:rFonts w:eastAsia="Times New Roman" w:cstheme="minorHAnsi"/>
                <w:lang w:val="en-AU" w:eastAsia="en-AU"/>
              </w:rPr>
              <w:t>The AMC may publish submissions on its website in the interests of transparency and to support informed discussion among the community and stakeholders. Published submissions will include the names of the individuals and/or the organisations that made them, unless confidentiality is expressly requested, or you advise us that you do not want your submission published. We would not include the contact details for individuals.</w:t>
            </w:r>
          </w:p>
          <w:p w14:paraId="7401E140" w14:textId="77777777" w:rsidR="0005315B" w:rsidRPr="00495C2B" w:rsidRDefault="0005315B" w:rsidP="00057AEA">
            <w:pPr>
              <w:spacing w:before="120" w:after="120"/>
              <w:jc w:val="both"/>
              <w:rPr>
                <w:rFonts w:eastAsia="Times New Roman" w:cstheme="minorHAnsi"/>
                <w:i/>
                <w:iCs/>
                <w:lang w:val="en-AU" w:eastAsia="en-AU"/>
              </w:rPr>
            </w:pPr>
            <w:r w:rsidRPr="00495C2B">
              <w:rPr>
                <w:rFonts w:eastAsia="Times New Roman" w:cstheme="minorHAnsi"/>
                <w:i/>
                <w:iCs/>
                <w:lang w:val="en-AU" w:eastAsia="en-AU"/>
              </w:rPr>
              <w:t>We will not place on our website, or make available to the public, submissions that contain offensive or defamatory comments or which are outside the scope of the subject of the consultation.</w:t>
            </w:r>
          </w:p>
          <w:p w14:paraId="072B4EC3" w14:textId="77777777" w:rsidR="0005315B" w:rsidRPr="00495C2B" w:rsidRDefault="0005315B" w:rsidP="00057AEA">
            <w:pPr>
              <w:spacing w:before="120" w:after="120"/>
              <w:jc w:val="both"/>
              <w:rPr>
                <w:rFonts w:cstheme="minorHAnsi"/>
                <w:lang w:val="en-AU"/>
              </w:rPr>
            </w:pPr>
            <w:r w:rsidRPr="00495C2B">
              <w:rPr>
                <w:rFonts w:cstheme="minorHAnsi"/>
                <w:lang w:val="en-AU"/>
              </w:rPr>
              <w:t xml:space="preserve">Please advise if you </w:t>
            </w:r>
            <w:r w:rsidRPr="00495C2B">
              <w:rPr>
                <w:rFonts w:cstheme="minorHAnsi"/>
                <w:b/>
                <w:bCs/>
                <w:lang w:val="en-AU"/>
              </w:rPr>
              <w:t>do</w:t>
            </w:r>
            <w:r w:rsidRPr="00495C2B">
              <w:rPr>
                <w:rFonts w:cstheme="minorHAnsi"/>
                <w:lang w:val="en-AU"/>
              </w:rPr>
              <w:t xml:space="preserve"> </w:t>
            </w:r>
            <w:r w:rsidRPr="00495C2B">
              <w:rPr>
                <w:rFonts w:cstheme="minorHAnsi"/>
                <w:b/>
                <w:bCs/>
                <w:lang w:val="en-AU"/>
              </w:rPr>
              <w:t>not</w:t>
            </w:r>
            <w:r w:rsidRPr="00495C2B">
              <w:rPr>
                <w:rFonts w:cstheme="minorHAnsi"/>
                <w:lang w:val="en-AU"/>
              </w:rPr>
              <w:t xml:space="preserve"> agree to your feedback being published?</w:t>
            </w:r>
          </w:p>
        </w:tc>
      </w:tr>
      <w:tr w:rsidR="0005315B" w:rsidRPr="00495C2B" w14:paraId="1DBB4DA3" w14:textId="77777777" w:rsidTr="00057AEA">
        <w:trPr>
          <w:trHeight w:val="841"/>
        </w:trPr>
        <w:tc>
          <w:tcPr>
            <w:tcW w:w="644" w:type="dxa"/>
            <w:tcBorders>
              <w:right w:val="nil"/>
            </w:tcBorders>
            <w:shd w:val="clear" w:color="auto" w:fill="D7EEF2" w:themeFill="background2" w:themeFillTint="33"/>
            <w:vAlign w:val="center"/>
          </w:tcPr>
          <w:p w14:paraId="7DDAF021" w14:textId="77777777" w:rsidR="0005315B" w:rsidRPr="00495C2B" w:rsidRDefault="0085665A" w:rsidP="00057AEA">
            <w:pPr>
              <w:spacing w:before="120"/>
              <w:jc w:val="both"/>
              <w:rPr>
                <w:rFonts w:eastAsia="Times New Roman" w:cstheme="minorHAnsi"/>
                <w:lang w:val="en-AU" w:eastAsia="en-AU"/>
              </w:rPr>
            </w:pPr>
            <w:sdt>
              <w:sdtPr>
                <w:rPr>
                  <w:rFonts w:cstheme="minorHAnsi"/>
                  <w:sz w:val="48"/>
                  <w:szCs w:val="48"/>
                </w:rPr>
                <w:id w:val="-1921091108"/>
                <w15:appearance w15:val="hidden"/>
                <w14:checkbox>
                  <w14:checked w14:val="0"/>
                  <w14:checkedState w14:val="0052" w14:font="HelveticaNeueCE-Light"/>
                  <w14:uncheckedState w14:val="2610" w14:font="MS Gothic"/>
                </w14:checkbox>
              </w:sdtPr>
              <w:sdtEndPr/>
              <w:sdtContent>
                <w:r w:rsidR="0005315B" w:rsidRPr="00495C2B">
                  <w:rPr>
                    <w:rFonts w:ascii="MS Gothic" w:eastAsia="MS Gothic" w:hAnsi="MS Gothic" w:cstheme="minorHAnsi" w:hint="eastAsia"/>
                    <w:sz w:val="48"/>
                    <w:szCs w:val="48"/>
                    <w:lang w:val="en-AU"/>
                  </w:rPr>
                  <w:t>☐</w:t>
                </w:r>
              </w:sdtContent>
            </w:sdt>
          </w:p>
        </w:tc>
        <w:tc>
          <w:tcPr>
            <w:tcW w:w="8990" w:type="dxa"/>
            <w:tcBorders>
              <w:left w:val="nil"/>
              <w:right w:val="single" w:sz="4" w:space="0" w:color="auto"/>
            </w:tcBorders>
            <w:shd w:val="clear" w:color="auto" w:fill="D7EEF2" w:themeFill="background2" w:themeFillTint="33"/>
            <w:vAlign w:val="center"/>
          </w:tcPr>
          <w:p w14:paraId="533B1C58" w14:textId="77777777" w:rsidR="0005315B" w:rsidRPr="00495C2B" w:rsidRDefault="0005315B" w:rsidP="00057AEA">
            <w:pPr>
              <w:spacing w:before="120"/>
              <w:jc w:val="both"/>
              <w:rPr>
                <w:rFonts w:eastAsia="Times New Roman" w:cstheme="minorHAnsi"/>
                <w:b/>
                <w:bCs/>
                <w:sz w:val="24"/>
                <w:szCs w:val="24"/>
                <w:lang w:val="en-AU" w:eastAsia="en-AU"/>
              </w:rPr>
            </w:pPr>
            <w:r w:rsidRPr="00495C2B">
              <w:rPr>
                <w:rFonts w:eastAsia="Times New Roman" w:cstheme="minorHAnsi"/>
                <w:b/>
                <w:bCs/>
                <w:sz w:val="24"/>
                <w:szCs w:val="24"/>
                <w:lang w:val="en-AU" w:eastAsia="en-AU"/>
              </w:rPr>
              <w:t>NO – I do not agree to my feedback being published.</w:t>
            </w:r>
          </w:p>
        </w:tc>
      </w:tr>
    </w:tbl>
    <w:p w14:paraId="686396DE" w14:textId="77777777" w:rsidR="002C7DB1" w:rsidRDefault="002C7DB1" w:rsidP="002C7DB1"/>
    <w:sectPr w:rsidR="002C7DB1" w:rsidSect="00062A52">
      <w:headerReference w:type="default" r:id="rId13"/>
      <w:footerReference w:type="default" r:id="rId14"/>
      <w:headerReference w:type="first" r:id="rId15"/>
      <w:footerReference w:type="first" r:id="rId16"/>
      <w:pgSz w:w="11906" w:h="16838"/>
      <w:pgMar w:top="1276" w:right="1134" w:bottom="709"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79BBD" w14:textId="77777777" w:rsidR="0053002E" w:rsidRPr="00495C2B" w:rsidRDefault="0053002E" w:rsidP="002C7DB1">
      <w:r w:rsidRPr="00495C2B">
        <w:separator/>
      </w:r>
    </w:p>
  </w:endnote>
  <w:endnote w:type="continuationSeparator" w:id="0">
    <w:p w14:paraId="38CA498E" w14:textId="77777777" w:rsidR="0053002E" w:rsidRPr="00495C2B" w:rsidRDefault="0053002E" w:rsidP="002C7DB1">
      <w:r w:rsidRPr="00495C2B">
        <w:continuationSeparator/>
      </w:r>
    </w:p>
  </w:endnote>
  <w:endnote w:type="continuationNotice" w:id="1">
    <w:p w14:paraId="6C91BBBC" w14:textId="77777777" w:rsidR="0053002E" w:rsidRPr="00495C2B" w:rsidRDefault="005300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9702299"/>
      <w:docPartObj>
        <w:docPartGallery w:val="Page Numbers (Bottom of Page)"/>
        <w:docPartUnique/>
      </w:docPartObj>
    </w:sdtPr>
    <w:sdtEndPr/>
    <w:sdtContent>
      <w:sdt>
        <w:sdtPr>
          <w:rPr>
            <w:sz w:val="16"/>
            <w:szCs w:val="16"/>
          </w:rPr>
          <w:id w:val="1478724288"/>
          <w:docPartObj>
            <w:docPartGallery w:val="Page Numbers (Top of Page)"/>
            <w:docPartUnique/>
          </w:docPartObj>
        </w:sdtPr>
        <w:sdtEndPr/>
        <w:sdtContent>
          <w:p w14:paraId="3C731DB7" w14:textId="6BBB3015" w:rsidR="003D6C6A" w:rsidRPr="00495C2B" w:rsidRDefault="003D6C6A" w:rsidP="003D6C6A">
            <w:pPr>
              <w:pStyle w:val="Footer"/>
              <w:pBdr>
                <w:top w:val="single" w:sz="4" w:space="1" w:color="auto"/>
              </w:pBdr>
              <w:tabs>
                <w:tab w:val="clear" w:pos="9026"/>
                <w:tab w:val="right" w:pos="9638"/>
              </w:tabs>
              <w:rPr>
                <w:sz w:val="16"/>
                <w:szCs w:val="16"/>
              </w:rPr>
            </w:pPr>
            <w:r w:rsidRPr="00495C2B">
              <w:rPr>
                <w:sz w:val="16"/>
                <w:szCs w:val="16"/>
              </w:rPr>
              <w:t xml:space="preserve">Consultation feedback form – </w:t>
            </w:r>
            <w:r w:rsidR="00D8079B" w:rsidRPr="00495C2B">
              <w:rPr>
                <w:sz w:val="16"/>
                <w:szCs w:val="16"/>
              </w:rPr>
              <w:t>D</w:t>
            </w:r>
            <w:r w:rsidR="00D8079B" w:rsidRPr="00495C2B">
              <w:rPr>
                <w:iCs/>
                <w:sz w:val="16"/>
                <w:szCs w:val="16"/>
              </w:rPr>
              <w:t>raft model standards and procedures for specialist medical college accreditation of training settings</w:t>
            </w:r>
            <w:r w:rsidR="00D8079B" w:rsidRPr="00495C2B">
              <w:rPr>
                <w:sz w:val="16"/>
                <w:szCs w:val="16"/>
              </w:rPr>
              <w:tab/>
              <w:t xml:space="preserve">page </w:t>
            </w:r>
            <w:r w:rsidR="00D8079B" w:rsidRPr="00495C2B">
              <w:rPr>
                <w:bCs/>
                <w:sz w:val="16"/>
                <w:szCs w:val="16"/>
              </w:rPr>
              <w:fldChar w:fldCharType="begin"/>
            </w:r>
            <w:r w:rsidR="00D8079B" w:rsidRPr="00495C2B">
              <w:rPr>
                <w:bCs/>
                <w:sz w:val="16"/>
                <w:szCs w:val="16"/>
              </w:rPr>
              <w:instrText xml:space="preserve"> PAGE </w:instrText>
            </w:r>
            <w:r w:rsidR="00D8079B" w:rsidRPr="00495C2B">
              <w:rPr>
                <w:bCs/>
                <w:sz w:val="16"/>
                <w:szCs w:val="16"/>
              </w:rPr>
              <w:fldChar w:fldCharType="separate"/>
            </w:r>
            <w:r w:rsidR="00D8079B" w:rsidRPr="00495C2B">
              <w:rPr>
                <w:bCs/>
                <w:sz w:val="16"/>
                <w:szCs w:val="16"/>
              </w:rPr>
              <w:t>1</w:t>
            </w:r>
            <w:r w:rsidR="00D8079B" w:rsidRPr="00495C2B">
              <w:rPr>
                <w:bCs/>
                <w:sz w:val="16"/>
                <w:szCs w:val="16"/>
              </w:rPr>
              <w:fldChar w:fldCharType="end"/>
            </w:r>
            <w:r w:rsidR="00D8079B" w:rsidRPr="00495C2B">
              <w:rPr>
                <w:sz w:val="16"/>
                <w:szCs w:val="16"/>
              </w:rPr>
              <w:t xml:space="preserve"> of </w:t>
            </w:r>
            <w:r w:rsidR="00D8079B" w:rsidRPr="00495C2B">
              <w:rPr>
                <w:bCs/>
                <w:sz w:val="16"/>
                <w:szCs w:val="16"/>
              </w:rPr>
              <w:fldChar w:fldCharType="begin"/>
            </w:r>
            <w:r w:rsidR="00D8079B" w:rsidRPr="00495C2B">
              <w:rPr>
                <w:bCs/>
                <w:sz w:val="16"/>
                <w:szCs w:val="16"/>
              </w:rPr>
              <w:instrText xml:space="preserve"> NUMPAGES  </w:instrText>
            </w:r>
            <w:r w:rsidR="00D8079B" w:rsidRPr="00495C2B">
              <w:rPr>
                <w:bCs/>
                <w:sz w:val="16"/>
                <w:szCs w:val="16"/>
              </w:rPr>
              <w:fldChar w:fldCharType="separate"/>
            </w:r>
            <w:r w:rsidR="00D8079B" w:rsidRPr="00495C2B">
              <w:rPr>
                <w:bCs/>
                <w:sz w:val="16"/>
                <w:szCs w:val="16"/>
              </w:rPr>
              <w:t>7</w:t>
            </w:r>
            <w:r w:rsidR="00D8079B" w:rsidRPr="00495C2B">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610071"/>
      <w:docPartObj>
        <w:docPartGallery w:val="Page Numbers (Bottom of Page)"/>
        <w:docPartUnique/>
      </w:docPartObj>
    </w:sdtPr>
    <w:sdtEndPr>
      <w:rPr>
        <w:sz w:val="16"/>
        <w:szCs w:val="16"/>
      </w:rPr>
    </w:sdtEndPr>
    <w:sdtContent>
      <w:sdt>
        <w:sdtPr>
          <w:id w:val="-1241560117"/>
          <w:docPartObj>
            <w:docPartGallery w:val="Page Numbers (Top of Page)"/>
            <w:docPartUnique/>
          </w:docPartObj>
        </w:sdtPr>
        <w:sdtEndPr>
          <w:rPr>
            <w:sz w:val="16"/>
            <w:szCs w:val="16"/>
          </w:rPr>
        </w:sdtEndPr>
        <w:sdtContent>
          <w:p w14:paraId="191270B3" w14:textId="4D3EBE81" w:rsidR="002C7DB1" w:rsidRPr="00495C2B" w:rsidRDefault="00062A52" w:rsidP="00062A52">
            <w:pPr>
              <w:pStyle w:val="Footer"/>
              <w:pBdr>
                <w:top w:val="single" w:sz="4" w:space="1" w:color="auto"/>
              </w:pBdr>
              <w:tabs>
                <w:tab w:val="clear" w:pos="9026"/>
                <w:tab w:val="right" w:pos="9638"/>
              </w:tabs>
            </w:pPr>
            <w:r w:rsidRPr="00495C2B">
              <w:rPr>
                <w:sz w:val="16"/>
                <w:szCs w:val="16"/>
              </w:rPr>
              <w:t xml:space="preserve">Consultation feedback form – </w:t>
            </w:r>
            <w:r w:rsidR="008D0C55" w:rsidRPr="00495C2B">
              <w:rPr>
                <w:sz w:val="16"/>
                <w:szCs w:val="16"/>
              </w:rPr>
              <w:t>D</w:t>
            </w:r>
            <w:r w:rsidR="008D0C55" w:rsidRPr="00495C2B">
              <w:rPr>
                <w:iCs/>
                <w:sz w:val="16"/>
                <w:szCs w:val="16"/>
              </w:rPr>
              <w:t>raft model standards and procedures for specialist medical college accreditation of training settings</w:t>
            </w:r>
            <w:r w:rsidRPr="00495C2B">
              <w:rPr>
                <w:sz w:val="16"/>
                <w:szCs w:val="16"/>
              </w:rPr>
              <w:tab/>
              <w:t xml:space="preserve">page </w:t>
            </w:r>
            <w:r w:rsidRPr="00495C2B">
              <w:rPr>
                <w:bCs/>
                <w:sz w:val="16"/>
                <w:szCs w:val="16"/>
              </w:rPr>
              <w:fldChar w:fldCharType="begin"/>
            </w:r>
            <w:r w:rsidRPr="00495C2B">
              <w:rPr>
                <w:bCs/>
                <w:sz w:val="16"/>
                <w:szCs w:val="16"/>
              </w:rPr>
              <w:instrText xml:space="preserve"> PAGE </w:instrText>
            </w:r>
            <w:r w:rsidRPr="00495C2B">
              <w:rPr>
                <w:bCs/>
                <w:sz w:val="16"/>
                <w:szCs w:val="16"/>
              </w:rPr>
              <w:fldChar w:fldCharType="separate"/>
            </w:r>
            <w:r w:rsidRPr="00495C2B">
              <w:rPr>
                <w:bCs/>
                <w:sz w:val="16"/>
                <w:szCs w:val="16"/>
              </w:rPr>
              <w:t>1</w:t>
            </w:r>
            <w:r w:rsidRPr="00495C2B">
              <w:rPr>
                <w:bCs/>
                <w:sz w:val="16"/>
                <w:szCs w:val="16"/>
              </w:rPr>
              <w:fldChar w:fldCharType="end"/>
            </w:r>
            <w:r w:rsidRPr="00495C2B">
              <w:rPr>
                <w:sz w:val="16"/>
                <w:szCs w:val="16"/>
              </w:rPr>
              <w:t xml:space="preserve"> of </w:t>
            </w:r>
            <w:r w:rsidRPr="00495C2B">
              <w:rPr>
                <w:bCs/>
                <w:sz w:val="16"/>
                <w:szCs w:val="16"/>
              </w:rPr>
              <w:fldChar w:fldCharType="begin"/>
            </w:r>
            <w:r w:rsidRPr="00495C2B">
              <w:rPr>
                <w:bCs/>
                <w:sz w:val="16"/>
                <w:szCs w:val="16"/>
              </w:rPr>
              <w:instrText xml:space="preserve"> NUMPAGES  </w:instrText>
            </w:r>
            <w:r w:rsidRPr="00495C2B">
              <w:rPr>
                <w:bCs/>
                <w:sz w:val="16"/>
                <w:szCs w:val="16"/>
              </w:rPr>
              <w:fldChar w:fldCharType="separate"/>
            </w:r>
            <w:r w:rsidRPr="00495C2B">
              <w:rPr>
                <w:bCs/>
                <w:sz w:val="16"/>
                <w:szCs w:val="16"/>
              </w:rPr>
              <w:t>3</w:t>
            </w:r>
            <w:r w:rsidRPr="00495C2B">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4E8C5" w14:textId="77777777" w:rsidR="0053002E" w:rsidRPr="00495C2B" w:rsidRDefault="0053002E" w:rsidP="002C7DB1">
      <w:r w:rsidRPr="00495C2B">
        <w:separator/>
      </w:r>
    </w:p>
  </w:footnote>
  <w:footnote w:type="continuationSeparator" w:id="0">
    <w:p w14:paraId="17D64967" w14:textId="77777777" w:rsidR="0053002E" w:rsidRPr="00495C2B" w:rsidRDefault="0053002E" w:rsidP="002C7DB1">
      <w:r w:rsidRPr="00495C2B">
        <w:continuationSeparator/>
      </w:r>
    </w:p>
  </w:footnote>
  <w:footnote w:type="continuationNotice" w:id="1">
    <w:p w14:paraId="0649AED4" w14:textId="77777777" w:rsidR="0053002E" w:rsidRPr="00495C2B" w:rsidRDefault="005300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E389" w14:textId="77777777" w:rsidR="002C7DB1" w:rsidRPr="00495C2B" w:rsidRDefault="002C7DB1">
    <w:pPr>
      <w:pStyle w:val="Header"/>
    </w:pPr>
    <w:r w:rsidRPr="00495C2B">
      <w:rPr>
        <w:noProof/>
      </w:rPr>
      <mc:AlternateContent>
        <mc:Choice Requires="wps">
          <w:drawing>
            <wp:anchor distT="0" distB="0" distL="114300" distR="114300" simplePos="0" relativeHeight="251658243" behindDoc="0" locked="0" layoutInCell="1" allowOverlap="1" wp14:anchorId="65BD1E63" wp14:editId="2343B49A">
              <wp:simplePos x="0" y="0"/>
              <wp:positionH relativeFrom="page">
                <wp:align>left</wp:align>
              </wp:positionH>
              <wp:positionV relativeFrom="paragraph">
                <wp:posOffset>-447675</wp:posOffset>
              </wp:positionV>
              <wp:extent cx="7577455" cy="359410"/>
              <wp:effectExtent l="0" t="0" r="4445" b="2540"/>
              <wp:wrapNone/>
              <wp:docPr id="1847918315" name="Rectangle 1"/>
              <wp:cNvGraphicFramePr/>
              <a:graphic xmlns:a="http://schemas.openxmlformats.org/drawingml/2006/main">
                <a:graphicData uri="http://schemas.microsoft.com/office/word/2010/wordprocessingShape">
                  <wps:wsp>
                    <wps:cNvSpPr/>
                    <wps:spPr>
                      <a:xfrm>
                        <a:off x="0" y="0"/>
                        <a:ext cx="7577455" cy="35941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4984CC">
            <v:rect id="Rectangle 1" style="position:absolute;margin-left:0;margin-top:-35.25pt;width:596.65pt;height:28.3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2c3e50 [3204]" stroked="f" strokeweight="1pt" w14:anchorId="74B81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yfdAIAAGIFAAAOAAAAZHJzL2Uyb0RvYy54bWysVN9r2zAQfh/sfxB6X21nybKGOiW0dAxK&#10;G9aOPiuyFBtknXZS4mR//U5y4nRt2WDsRdbpvvv1+e4uLnetYVuFvgFb8uIs50xZCVVj1yX//njz&#10;4TNnPghbCQNWlXyvPL+cv3930bmZGkENplLIyIn1s86VvA7BzbLMy1q1wp+BU5aUGrAVgURcZxWK&#10;jry3Jhvl+aesA6wcglTe0+t1r+Tz5F9rJcO91l4FZkpOuYV0YjpX8czmF2K2RuHqRh7SEP+QRSsa&#10;S0EHV9ciCLbB5pWrtpEIHnQ4k9BmoHUjVaqBqinyF9U81MKpVAuR491Ak/9/buXd9sEtkWjonJ95&#10;usYqdhrb+KX82C6RtR/IUrvAJD1OJ9PpeDLhTJLu4+R8XCQ2s5O1Qx++KGhZvJQc6WckjsT21geK&#10;SNAjJAbzYJrqpjEmCbEB1JVBthX064SUyoYi/i6y+g1pbMRbiJa9Or5kp3LSLeyNijhjvynNmooK&#10;GKVkUqe9DpRyqEWl+vjFJM+P5Q0WKZfkMKI1xR98F3/y3Wd5wEdTlRp1MM7/bjxYpMhgw2DcNhbw&#10;LQdmoE/3+CNJPTWRpRVU+yUyhH5MvJM3Df26W+HDUiDNBU0QzXq4p0Mb6EoOhxtnNeDPt94jntqV&#10;tJx1NGcl9z82AhVn5qulRj4vxuM4mEkYT6YjEvC5ZvVcYzftFVA/FLRVnEzXiA/meNUI7ROthEWM&#10;SiphJcUuuQx4FK5CP/+0VKRaLBKMhtGJcGsfnIzOI6uxNR93TwLdoX8Ddf4dHGdSzF60cY+NlhYW&#10;mwC6ST1+4vXANw1yapzD0omb4rmcUKfVOP8FAAD//wMAUEsDBBQABgAIAAAAIQCB5xDF4AAAAAkB&#10;AAAPAAAAZHJzL2Rvd25yZXYueG1sTI/BbsIwEETvSP0HaytxAydYhRLiIITEpaoqNS2H3ky8xGnj&#10;dRSbkPbra07tcXZWM2/y7WhbNmDvG0cS0nkCDKlyuqFawvvbYfYIzAdFWrWOUMI3etgWd5NcZdpd&#10;6RWHMtQshpDPlAQTQpdx7iuDVvm565Cid3a9VSHKvua6V9cYblu+SJIlt6qh2GBUh3uD1Vd5sRKe&#10;PleiNMNu+BEveDTu+Pxx2Hspp/fjbgMs4Bj+nuGGH9GhiEwndyHtWSshDgkSZqvkAdjNTtdCADvF&#10;UyrWwIuc/19Q/AIAAP//AwBQSwECLQAUAAYACAAAACEAtoM4kv4AAADhAQAAEwAAAAAAAAAAAAAA&#10;AAAAAAAAW0NvbnRlbnRfVHlwZXNdLnhtbFBLAQItABQABgAIAAAAIQA4/SH/1gAAAJQBAAALAAAA&#10;AAAAAAAAAAAAAC8BAABfcmVscy8ucmVsc1BLAQItABQABgAIAAAAIQBRNhyfdAIAAGIFAAAOAAAA&#10;AAAAAAAAAAAAAC4CAABkcnMvZTJvRG9jLnhtbFBLAQItABQABgAIAAAAIQCB5xDF4AAAAAkBAAAP&#10;AAAAAAAAAAAAAAAAAM4EAABkcnMvZG93bnJldi54bWxQSwUGAAAAAAQABADzAAAA2wU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D5B9" w14:textId="1C63C627" w:rsidR="002C7DB1" w:rsidRPr="00495C2B" w:rsidRDefault="00676845" w:rsidP="002C7DB1">
    <w:pPr>
      <w:pStyle w:val="Title"/>
      <w:rPr>
        <w:sz w:val="64"/>
        <w:szCs w:val="64"/>
      </w:rPr>
    </w:pPr>
    <w:r w:rsidRPr="00495C2B">
      <w:rPr>
        <w:noProof/>
        <w:sz w:val="64"/>
        <w:szCs w:val="64"/>
      </w:rPr>
      <w:drawing>
        <wp:anchor distT="0" distB="0" distL="114300" distR="114300" simplePos="0" relativeHeight="251658241" behindDoc="1" locked="0" layoutInCell="1" allowOverlap="1" wp14:anchorId="77743C5A" wp14:editId="413C42AE">
          <wp:simplePos x="0" y="0"/>
          <wp:positionH relativeFrom="page">
            <wp:align>left</wp:align>
          </wp:positionH>
          <wp:positionV relativeFrom="page">
            <wp:posOffset>29210</wp:posOffset>
          </wp:positionV>
          <wp:extent cx="8744400" cy="1422000"/>
          <wp:effectExtent l="0" t="0" r="0" b="6985"/>
          <wp:wrapNone/>
          <wp:docPr id="88906623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23784" name="Graphic 201172378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44400" cy="1422000"/>
                  </a:xfrm>
                  <a:prstGeom prst="rect">
                    <a:avLst/>
                  </a:prstGeom>
                </pic:spPr>
              </pic:pic>
            </a:graphicData>
          </a:graphic>
          <wp14:sizeRelH relativeFrom="margin">
            <wp14:pctWidth>0</wp14:pctWidth>
          </wp14:sizeRelH>
          <wp14:sizeRelV relativeFrom="margin">
            <wp14:pctHeight>0</wp14:pctHeight>
          </wp14:sizeRelV>
        </wp:anchor>
      </w:drawing>
    </w:r>
    <w:r w:rsidRPr="00495C2B">
      <w:rPr>
        <w:noProof/>
        <w:sz w:val="64"/>
        <w:szCs w:val="64"/>
      </w:rPr>
      <mc:AlternateContent>
        <mc:Choice Requires="wps">
          <w:drawing>
            <wp:anchor distT="0" distB="0" distL="114300" distR="114300" simplePos="0" relativeHeight="251658240" behindDoc="1" locked="0" layoutInCell="1" allowOverlap="1" wp14:anchorId="3FD6DBF6" wp14:editId="30C14289">
              <wp:simplePos x="0" y="0"/>
              <wp:positionH relativeFrom="page">
                <wp:align>right</wp:align>
              </wp:positionH>
              <wp:positionV relativeFrom="paragraph">
                <wp:posOffset>-458470</wp:posOffset>
              </wp:positionV>
              <wp:extent cx="7577455" cy="1441450"/>
              <wp:effectExtent l="0" t="0" r="4445" b="6350"/>
              <wp:wrapNone/>
              <wp:docPr id="1992134269" name="Rectangle 1"/>
              <wp:cNvGraphicFramePr/>
              <a:graphic xmlns:a="http://schemas.openxmlformats.org/drawingml/2006/main">
                <a:graphicData uri="http://schemas.microsoft.com/office/word/2010/wordprocessingShape">
                  <wps:wsp>
                    <wps:cNvSpPr/>
                    <wps:spPr>
                      <a:xfrm>
                        <a:off x="0" y="0"/>
                        <a:ext cx="7577455" cy="144145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arto="http://schemas.microsoft.com/office/word/2006/arto">
          <w:pict w14:anchorId="2A96FA76">
            <v:rect id="Rectangle 1" style="position:absolute;margin-left:545.45pt;margin-top:-36.1pt;width:596.65pt;height:113.5pt;z-index:-2516551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3caabe [3206]" stroked="f" strokeweight="1pt" w14:anchorId="5AFAE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beAIAAGMFAAAOAAAAZHJzL2Uyb0RvYy54bWysVN9v0zAQfkfif7D8zpKUlkLVdKo2DSFN&#10;27QN7dlz7CaS4zNnt2n56zk7aTrGxAPixfH5fn/57pbn+9awnULfgC15cZZzpqyEqrGbkn9/vPrw&#10;mTMfhK2EAatKflCen6/ev1t2bqEmUIOpFDIKYv2icyWvQ3CLLPOyVq3wZ+CUJaUGbEUgETdZhaKj&#10;6K3JJnn+KesAK4cglff0etkr+SrF11rJcKu1V4GZklNtIZ2Yzud4ZqulWGxQuLqRQxniH6poRWMp&#10;6RjqUgTBttj8EaptJIIHHc4ktBlo3UiVeqBuivxVNw+1cCr1QuB4N8Lk/19YebN7cHdIMHTOLzxd&#10;Yxd7jW38Un1sn8A6jGCpfWCSHuez+Xw6m3EmSVdMp8V0luDMTu4OffiqoGXxUnKkv5FAErtrHygl&#10;mR5NYjYPpqmuGmOSEBmgLgyynaB/J6RUNnyM/4u8frM0NtpbiJ69Or5kp37SLRyMinbG3ivNmoo6&#10;mKRiEtVeJyp6VS0q1ecvZnl+bG/0SLWkgDGypvxj7CHAW00UQxODfXRViamjc/63wvoWR4+UGWwY&#10;ndvGAr4VwIQxc29/BKmHJqL0DNXhDhlCPyfeyauGft218OFOIA0GjRANe7ilQxvoSg7DjbMa8Odb&#10;79Ge+EpazjoatJL7H1uBijPzzRKTvxB34mQmYTqbT0jAl5rnlxq7bS+A+FDQWnEyXaN9MMerRmif&#10;aCesY1ZSCSspd8llwKNwEfoFQFtFqvU6mdE0OhGu7YOTMXhENVLzcf8k0A38DUT9GzgOpVi8onFv&#10;Gz0trLcBdJM4fsJ1wJsmORFn2DpxVbyUk9VpN65+AQAA//8DAFBLAwQUAAYACAAAACEAy01KJt8A&#10;AAAJAQAADwAAAGRycy9kb3ducmV2LnhtbEyPwU7DMBBE70j9B2uRuLVOUlpKiFMVJA6lXFLC3Y0X&#10;J228DrHThr/HPcFtVrOaeZOtR9OyM/ausSQgnkXAkCqrGtICyo/X6QqY85KUbC2hgB90sM4nN5lM&#10;lb1Qgee91yyEkEulgNr7LuXcVTUa6Wa2Qwrel+2N9OHsNVe9vIRw0/IkipbcyIZCQy07fKmxOu0H&#10;I2C71MVRvQ+LXflcFirW37j9fBPi7nbcPAHzOPq/Z7jiB3TIA9PBDqQcawWEIV7A9CFJgF3t+HE+&#10;B3YIanG/Ap5n/P+C/BcAAP//AwBQSwECLQAUAAYACAAAACEAtoM4kv4AAADhAQAAEwAAAAAAAAAA&#10;AAAAAAAAAAAAW0NvbnRlbnRfVHlwZXNdLnhtbFBLAQItABQABgAIAAAAIQA4/SH/1gAAAJQBAAAL&#10;AAAAAAAAAAAAAAAAAC8BAABfcmVscy8ucmVsc1BLAQItABQABgAIAAAAIQCbRmxbeAIAAGMFAAAO&#10;AAAAAAAAAAAAAAAAAC4CAABkcnMvZTJvRG9jLnhtbFBLAQItABQABgAIAAAAIQDLTUom3wAAAAkB&#10;AAAPAAAAAAAAAAAAAAAAANIEAABkcnMvZG93bnJldi54bWxQSwUGAAAAAAQABADzAAAA3gUAAAAA&#10;">
              <w10:wrap anchorx="page"/>
            </v:rect>
          </w:pict>
        </mc:Fallback>
      </mc:AlternateContent>
    </w:r>
    <w:r w:rsidRPr="00495C2B">
      <w:rPr>
        <w:noProof/>
        <w:sz w:val="64"/>
        <w:szCs w:val="64"/>
      </w:rPr>
      <w:drawing>
        <wp:anchor distT="0" distB="0" distL="114300" distR="114300" simplePos="0" relativeHeight="251658242" behindDoc="0" locked="0" layoutInCell="1" allowOverlap="1" wp14:anchorId="01225744" wp14:editId="1D7A88D9">
          <wp:simplePos x="0" y="0"/>
          <wp:positionH relativeFrom="margin">
            <wp:posOffset>5280660</wp:posOffset>
          </wp:positionH>
          <wp:positionV relativeFrom="page">
            <wp:posOffset>542925</wp:posOffset>
          </wp:positionV>
          <wp:extent cx="921785" cy="657225"/>
          <wp:effectExtent l="0" t="0" r="0" b="0"/>
          <wp:wrapNone/>
          <wp:docPr id="2102574634" name="Picture 21025746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40081" name="Picture 1211240081" descr="A black and whit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21785" cy="657225"/>
                  </a:xfrm>
                  <a:prstGeom prst="rect">
                    <a:avLst/>
                  </a:prstGeom>
                </pic:spPr>
              </pic:pic>
            </a:graphicData>
          </a:graphic>
          <wp14:sizeRelH relativeFrom="margin">
            <wp14:pctWidth>0</wp14:pctWidth>
          </wp14:sizeRelH>
          <wp14:sizeRelV relativeFrom="margin">
            <wp14:pctHeight>0</wp14:pctHeight>
          </wp14:sizeRelV>
        </wp:anchor>
      </w:drawing>
    </w:r>
    <w:r w:rsidR="005C2035" w:rsidRPr="00495C2B">
      <w:rPr>
        <w:sz w:val="64"/>
        <w:szCs w:val="64"/>
      </w:rPr>
      <w:t>Consultation feedback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209E2"/>
    <w:multiLevelType w:val="hybridMultilevel"/>
    <w:tmpl w:val="50F41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1F07A5"/>
    <w:multiLevelType w:val="hybridMultilevel"/>
    <w:tmpl w:val="C59CA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B9251A"/>
    <w:multiLevelType w:val="hybridMultilevel"/>
    <w:tmpl w:val="0E121C20"/>
    <w:lvl w:ilvl="0" w:tplc="0C090001">
      <w:start w:val="1"/>
      <w:numFmt w:val="bullet"/>
      <w:lvlText w:val=""/>
      <w:lvlJc w:val="left"/>
      <w:pPr>
        <w:ind w:left="513" w:hanging="360"/>
      </w:pPr>
      <w:rPr>
        <w:rFonts w:ascii="Symbol" w:hAnsi="Symbol" w:hint="default"/>
      </w:rPr>
    </w:lvl>
    <w:lvl w:ilvl="1" w:tplc="FFFFFFFF" w:tentative="1">
      <w:start w:val="1"/>
      <w:numFmt w:val="bullet"/>
      <w:lvlText w:val="o"/>
      <w:lvlJc w:val="left"/>
      <w:pPr>
        <w:ind w:left="1233" w:hanging="360"/>
      </w:pPr>
      <w:rPr>
        <w:rFonts w:ascii="Courier New" w:hAnsi="Courier New" w:cs="Courier New" w:hint="default"/>
      </w:rPr>
    </w:lvl>
    <w:lvl w:ilvl="2" w:tplc="FFFFFFFF" w:tentative="1">
      <w:start w:val="1"/>
      <w:numFmt w:val="bullet"/>
      <w:lvlText w:val=""/>
      <w:lvlJc w:val="left"/>
      <w:pPr>
        <w:ind w:left="1953" w:hanging="360"/>
      </w:pPr>
      <w:rPr>
        <w:rFonts w:ascii="Wingdings" w:hAnsi="Wingdings" w:hint="default"/>
      </w:rPr>
    </w:lvl>
    <w:lvl w:ilvl="3" w:tplc="FFFFFFFF" w:tentative="1">
      <w:start w:val="1"/>
      <w:numFmt w:val="bullet"/>
      <w:lvlText w:val=""/>
      <w:lvlJc w:val="left"/>
      <w:pPr>
        <w:ind w:left="2673" w:hanging="360"/>
      </w:pPr>
      <w:rPr>
        <w:rFonts w:ascii="Symbol" w:hAnsi="Symbol" w:hint="default"/>
      </w:rPr>
    </w:lvl>
    <w:lvl w:ilvl="4" w:tplc="FFFFFFFF" w:tentative="1">
      <w:start w:val="1"/>
      <w:numFmt w:val="bullet"/>
      <w:lvlText w:val="o"/>
      <w:lvlJc w:val="left"/>
      <w:pPr>
        <w:ind w:left="3393" w:hanging="360"/>
      </w:pPr>
      <w:rPr>
        <w:rFonts w:ascii="Courier New" w:hAnsi="Courier New" w:cs="Courier New" w:hint="default"/>
      </w:rPr>
    </w:lvl>
    <w:lvl w:ilvl="5" w:tplc="FFFFFFFF" w:tentative="1">
      <w:start w:val="1"/>
      <w:numFmt w:val="bullet"/>
      <w:lvlText w:val=""/>
      <w:lvlJc w:val="left"/>
      <w:pPr>
        <w:ind w:left="4113" w:hanging="360"/>
      </w:pPr>
      <w:rPr>
        <w:rFonts w:ascii="Wingdings" w:hAnsi="Wingdings" w:hint="default"/>
      </w:rPr>
    </w:lvl>
    <w:lvl w:ilvl="6" w:tplc="FFFFFFFF" w:tentative="1">
      <w:start w:val="1"/>
      <w:numFmt w:val="bullet"/>
      <w:lvlText w:val=""/>
      <w:lvlJc w:val="left"/>
      <w:pPr>
        <w:ind w:left="4833" w:hanging="360"/>
      </w:pPr>
      <w:rPr>
        <w:rFonts w:ascii="Symbol" w:hAnsi="Symbol" w:hint="default"/>
      </w:rPr>
    </w:lvl>
    <w:lvl w:ilvl="7" w:tplc="FFFFFFFF" w:tentative="1">
      <w:start w:val="1"/>
      <w:numFmt w:val="bullet"/>
      <w:lvlText w:val="o"/>
      <w:lvlJc w:val="left"/>
      <w:pPr>
        <w:ind w:left="5553" w:hanging="360"/>
      </w:pPr>
      <w:rPr>
        <w:rFonts w:ascii="Courier New" w:hAnsi="Courier New" w:cs="Courier New" w:hint="default"/>
      </w:rPr>
    </w:lvl>
    <w:lvl w:ilvl="8" w:tplc="FFFFFFFF" w:tentative="1">
      <w:start w:val="1"/>
      <w:numFmt w:val="bullet"/>
      <w:lvlText w:val=""/>
      <w:lvlJc w:val="left"/>
      <w:pPr>
        <w:ind w:left="6273" w:hanging="360"/>
      </w:pPr>
      <w:rPr>
        <w:rFonts w:ascii="Wingdings" w:hAnsi="Wingdings" w:hint="default"/>
      </w:rPr>
    </w:lvl>
  </w:abstractNum>
  <w:abstractNum w:abstractNumId="3" w15:restartNumberingAfterBreak="0">
    <w:nsid w:val="1FC75C4B"/>
    <w:multiLevelType w:val="hybridMultilevel"/>
    <w:tmpl w:val="F72A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FB3A59"/>
    <w:multiLevelType w:val="hybridMultilevel"/>
    <w:tmpl w:val="B7585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4D61BF"/>
    <w:multiLevelType w:val="hybridMultilevel"/>
    <w:tmpl w:val="3D08A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694466"/>
    <w:multiLevelType w:val="multilevel"/>
    <w:tmpl w:val="6D722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A323D"/>
    <w:multiLevelType w:val="hybridMultilevel"/>
    <w:tmpl w:val="1D2A3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AF5589"/>
    <w:multiLevelType w:val="hybridMultilevel"/>
    <w:tmpl w:val="D06AF59E"/>
    <w:lvl w:ilvl="0" w:tplc="3E9406B6">
      <w:numFmt w:val="bullet"/>
      <w:lvlText w:val=""/>
      <w:lvlJc w:val="left"/>
      <w:pPr>
        <w:ind w:left="720" w:hanging="360"/>
      </w:pPr>
      <w:rPr>
        <w:rFonts w:ascii="Symbol" w:eastAsiaTheme="minorHAnsi"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84ABB"/>
    <w:multiLevelType w:val="hybridMultilevel"/>
    <w:tmpl w:val="4C665F90"/>
    <w:lvl w:ilvl="0" w:tplc="75304C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E44CD2"/>
    <w:multiLevelType w:val="hybridMultilevel"/>
    <w:tmpl w:val="590EC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967A96"/>
    <w:multiLevelType w:val="hybridMultilevel"/>
    <w:tmpl w:val="68A0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740ABC"/>
    <w:multiLevelType w:val="hybridMultilevel"/>
    <w:tmpl w:val="2448508E"/>
    <w:lvl w:ilvl="0" w:tplc="75304C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A1375DF"/>
    <w:multiLevelType w:val="hybridMultilevel"/>
    <w:tmpl w:val="37D8D406"/>
    <w:lvl w:ilvl="0" w:tplc="8B722CC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1756870">
    <w:abstractNumId w:val="12"/>
  </w:num>
  <w:num w:numId="2" w16cid:durableId="1083717991">
    <w:abstractNumId w:val="9"/>
  </w:num>
  <w:num w:numId="3" w16cid:durableId="1998536303">
    <w:abstractNumId w:val="13"/>
  </w:num>
  <w:num w:numId="4" w16cid:durableId="506405176">
    <w:abstractNumId w:val="2"/>
  </w:num>
  <w:num w:numId="5" w16cid:durableId="531261003">
    <w:abstractNumId w:val="0"/>
  </w:num>
  <w:num w:numId="6" w16cid:durableId="1082264327">
    <w:abstractNumId w:val="4"/>
  </w:num>
  <w:num w:numId="7" w16cid:durableId="1894192952">
    <w:abstractNumId w:val="10"/>
  </w:num>
  <w:num w:numId="8" w16cid:durableId="743069815">
    <w:abstractNumId w:val="8"/>
  </w:num>
  <w:num w:numId="9" w16cid:durableId="1900358961">
    <w:abstractNumId w:val="13"/>
  </w:num>
  <w:num w:numId="10" w16cid:durableId="1898779521">
    <w:abstractNumId w:val="11"/>
  </w:num>
  <w:num w:numId="11" w16cid:durableId="417361493">
    <w:abstractNumId w:val="6"/>
  </w:num>
  <w:num w:numId="12" w16cid:durableId="310838589">
    <w:abstractNumId w:val="1"/>
  </w:num>
  <w:num w:numId="13" w16cid:durableId="357005027">
    <w:abstractNumId w:val="5"/>
  </w:num>
  <w:num w:numId="14" w16cid:durableId="158008930">
    <w:abstractNumId w:val="3"/>
  </w:num>
  <w:num w:numId="15" w16cid:durableId="829251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851"/>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35"/>
    <w:rsid w:val="00004B26"/>
    <w:rsid w:val="00004B65"/>
    <w:rsid w:val="00005675"/>
    <w:rsid w:val="000074B2"/>
    <w:rsid w:val="0002088D"/>
    <w:rsid w:val="000249C4"/>
    <w:rsid w:val="000262FB"/>
    <w:rsid w:val="00026DF6"/>
    <w:rsid w:val="00027749"/>
    <w:rsid w:val="00030782"/>
    <w:rsid w:val="000314CA"/>
    <w:rsid w:val="00033A28"/>
    <w:rsid w:val="000376D5"/>
    <w:rsid w:val="00037CC5"/>
    <w:rsid w:val="00037D32"/>
    <w:rsid w:val="000434EC"/>
    <w:rsid w:val="000450AA"/>
    <w:rsid w:val="00047619"/>
    <w:rsid w:val="00051E76"/>
    <w:rsid w:val="00052330"/>
    <w:rsid w:val="0005315B"/>
    <w:rsid w:val="00054A58"/>
    <w:rsid w:val="00055DD1"/>
    <w:rsid w:val="00057AEA"/>
    <w:rsid w:val="000612F6"/>
    <w:rsid w:val="00062A52"/>
    <w:rsid w:val="00062D34"/>
    <w:rsid w:val="00063F3F"/>
    <w:rsid w:val="00070AD3"/>
    <w:rsid w:val="0007181A"/>
    <w:rsid w:val="00074240"/>
    <w:rsid w:val="000756E7"/>
    <w:rsid w:val="000779B6"/>
    <w:rsid w:val="00077F33"/>
    <w:rsid w:val="00082E3F"/>
    <w:rsid w:val="00086981"/>
    <w:rsid w:val="0008A1FA"/>
    <w:rsid w:val="0009483F"/>
    <w:rsid w:val="00096AAC"/>
    <w:rsid w:val="000A1202"/>
    <w:rsid w:val="000A4553"/>
    <w:rsid w:val="000A4696"/>
    <w:rsid w:val="000B2270"/>
    <w:rsid w:val="000B391C"/>
    <w:rsid w:val="000B41EA"/>
    <w:rsid w:val="000B4E7F"/>
    <w:rsid w:val="000B5B55"/>
    <w:rsid w:val="000B7A35"/>
    <w:rsid w:val="000B7CF0"/>
    <w:rsid w:val="000B7CFB"/>
    <w:rsid w:val="000C2211"/>
    <w:rsid w:val="000C55D3"/>
    <w:rsid w:val="000C7984"/>
    <w:rsid w:val="000D08AE"/>
    <w:rsid w:val="000D0ECB"/>
    <w:rsid w:val="000D4978"/>
    <w:rsid w:val="000D7BF6"/>
    <w:rsid w:val="000E18AA"/>
    <w:rsid w:val="000E4227"/>
    <w:rsid w:val="000F1108"/>
    <w:rsid w:val="0010407F"/>
    <w:rsid w:val="00107950"/>
    <w:rsid w:val="00107B88"/>
    <w:rsid w:val="00111079"/>
    <w:rsid w:val="00120E7E"/>
    <w:rsid w:val="00122275"/>
    <w:rsid w:val="00123D07"/>
    <w:rsid w:val="00124A25"/>
    <w:rsid w:val="0012556A"/>
    <w:rsid w:val="00127656"/>
    <w:rsid w:val="00127DF6"/>
    <w:rsid w:val="001305DF"/>
    <w:rsid w:val="00133D37"/>
    <w:rsid w:val="0013599A"/>
    <w:rsid w:val="00136C41"/>
    <w:rsid w:val="00137ADE"/>
    <w:rsid w:val="0014028A"/>
    <w:rsid w:val="00142ADE"/>
    <w:rsid w:val="00144DE5"/>
    <w:rsid w:val="00147BAA"/>
    <w:rsid w:val="00150CDC"/>
    <w:rsid w:val="00160050"/>
    <w:rsid w:val="00175F9A"/>
    <w:rsid w:val="001768B5"/>
    <w:rsid w:val="001777B7"/>
    <w:rsid w:val="00180988"/>
    <w:rsid w:val="00180A12"/>
    <w:rsid w:val="00181219"/>
    <w:rsid w:val="00181387"/>
    <w:rsid w:val="00183980"/>
    <w:rsid w:val="00187C24"/>
    <w:rsid w:val="001903CB"/>
    <w:rsid w:val="00193246"/>
    <w:rsid w:val="001A4516"/>
    <w:rsid w:val="001A4757"/>
    <w:rsid w:val="001A6688"/>
    <w:rsid w:val="001C6ED9"/>
    <w:rsid w:val="001D1025"/>
    <w:rsid w:val="001D1833"/>
    <w:rsid w:val="001D2772"/>
    <w:rsid w:val="001D6E8D"/>
    <w:rsid w:val="001E1868"/>
    <w:rsid w:val="001F242F"/>
    <w:rsid w:val="00201405"/>
    <w:rsid w:val="002019DF"/>
    <w:rsid w:val="002075D8"/>
    <w:rsid w:val="00207714"/>
    <w:rsid w:val="00207DF8"/>
    <w:rsid w:val="00210EAC"/>
    <w:rsid w:val="0021163C"/>
    <w:rsid w:val="00222DA5"/>
    <w:rsid w:val="00222DD9"/>
    <w:rsid w:val="0022315B"/>
    <w:rsid w:val="002250D7"/>
    <w:rsid w:val="002342FE"/>
    <w:rsid w:val="00243543"/>
    <w:rsid w:val="00247EB5"/>
    <w:rsid w:val="00250B8F"/>
    <w:rsid w:val="00254444"/>
    <w:rsid w:val="00255531"/>
    <w:rsid w:val="00255FCE"/>
    <w:rsid w:val="00260BC0"/>
    <w:rsid w:val="00261875"/>
    <w:rsid w:val="002650C2"/>
    <w:rsid w:val="00273CCE"/>
    <w:rsid w:val="00282C6D"/>
    <w:rsid w:val="00283613"/>
    <w:rsid w:val="00286C41"/>
    <w:rsid w:val="002875BE"/>
    <w:rsid w:val="002915A2"/>
    <w:rsid w:val="0029376D"/>
    <w:rsid w:val="002940D6"/>
    <w:rsid w:val="00297CC9"/>
    <w:rsid w:val="00297F4E"/>
    <w:rsid w:val="002A0763"/>
    <w:rsid w:val="002A329D"/>
    <w:rsid w:val="002A7A3E"/>
    <w:rsid w:val="002B22F2"/>
    <w:rsid w:val="002C0A2B"/>
    <w:rsid w:val="002C39F5"/>
    <w:rsid w:val="002C501D"/>
    <w:rsid w:val="002C7DB1"/>
    <w:rsid w:val="002D5CB0"/>
    <w:rsid w:val="002E6CD7"/>
    <w:rsid w:val="002F23AD"/>
    <w:rsid w:val="002F5F27"/>
    <w:rsid w:val="002F7E87"/>
    <w:rsid w:val="003005B7"/>
    <w:rsid w:val="003060BF"/>
    <w:rsid w:val="0031039D"/>
    <w:rsid w:val="003166E9"/>
    <w:rsid w:val="003216A2"/>
    <w:rsid w:val="003224DA"/>
    <w:rsid w:val="0032324F"/>
    <w:rsid w:val="00331456"/>
    <w:rsid w:val="003372E4"/>
    <w:rsid w:val="003441E2"/>
    <w:rsid w:val="00345B08"/>
    <w:rsid w:val="00346D89"/>
    <w:rsid w:val="003572CF"/>
    <w:rsid w:val="00370D7C"/>
    <w:rsid w:val="00371544"/>
    <w:rsid w:val="0037154B"/>
    <w:rsid w:val="003716A4"/>
    <w:rsid w:val="003730B1"/>
    <w:rsid w:val="0038633A"/>
    <w:rsid w:val="0038642B"/>
    <w:rsid w:val="00386CD6"/>
    <w:rsid w:val="003908A5"/>
    <w:rsid w:val="00390F69"/>
    <w:rsid w:val="00391588"/>
    <w:rsid w:val="003922CE"/>
    <w:rsid w:val="00393193"/>
    <w:rsid w:val="00393C88"/>
    <w:rsid w:val="003A019A"/>
    <w:rsid w:val="003A4B5C"/>
    <w:rsid w:val="003A5EB1"/>
    <w:rsid w:val="003B0226"/>
    <w:rsid w:val="003B461F"/>
    <w:rsid w:val="003B5ED9"/>
    <w:rsid w:val="003B5F75"/>
    <w:rsid w:val="003C6667"/>
    <w:rsid w:val="003D0226"/>
    <w:rsid w:val="003D0EFD"/>
    <w:rsid w:val="003D6C6A"/>
    <w:rsid w:val="003E5DCF"/>
    <w:rsid w:val="003E5F3C"/>
    <w:rsid w:val="003F6A34"/>
    <w:rsid w:val="0040221A"/>
    <w:rsid w:val="00402A39"/>
    <w:rsid w:val="004062E8"/>
    <w:rsid w:val="00407A79"/>
    <w:rsid w:val="00417BA4"/>
    <w:rsid w:val="00420B97"/>
    <w:rsid w:val="00424E97"/>
    <w:rsid w:val="00442C3E"/>
    <w:rsid w:val="00444D52"/>
    <w:rsid w:val="00445681"/>
    <w:rsid w:val="00445960"/>
    <w:rsid w:val="0045139A"/>
    <w:rsid w:val="004601A4"/>
    <w:rsid w:val="00460CAB"/>
    <w:rsid w:val="00461A3B"/>
    <w:rsid w:val="00464A37"/>
    <w:rsid w:val="004712EA"/>
    <w:rsid w:val="004728EA"/>
    <w:rsid w:val="00473D16"/>
    <w:rsid w:val="00477786"/>
    <w:rsid w:val="004831BB"/>
    <w:rsid w:val="004862E9"/>
    <w:rsid w:val="004873EF"/>
    <w:rsid w:val="004920E4"/>
    <w:rsid w:val="00495C2B"/>
    <w:rsid w:val="00495EFB"/>
    <w:rsid w:val="004979A2"/>
    <w:rsid w:val="004A2869"/>
    <w:rsid w:val="004A67E2"/>
    <w:rsid w:val="004A6F22"/>
    <w:rsid w:val="004B3695"/>
    <w:rsid w:val="004B3F42"/>
    <w:rsid w:val="004B5471"/>
    <w:rsid w:val="004B6B9A"/>
    <w:rsid w:val="004B7D33"/>
    <w:rsid w:val="004C0F0D"/>
    <w:rsid w:val="004C1E13"/>
    <w:rsid w:val="004C30EF"/>
    <w:rsid w:val="004C321B"/>
    <w:rsid w:val="004C606A"/>
    <w:rsid w:val="004D5AD4"/>
    <w:rsid w:val="004D5FF8"/>
    <w:rsid w:val="004E19D0"/>
    <w:rsid w:val="00500D18"/>
    <w:rsid w:val="00502518"/>
    <w:rsid w:val="00503C60"/>
    <w:rsid w:val="005064DA"/>
    <w:rsid w:val="00511358"/>
    <w:rsid w:val="00512F9E"/>
    <w:rsid w:val="00515A31"/>
    <w:rsid w:val="00515F8C"/>
    <w:rsid w:val="00520108"/>
    <w:rsid w:val="0052077C"/>
    <w:rsid w:val="00521754"/>
    <w:rsid w:val="005241CD"/>
    <w:rsid w:val="00525392"/>
    <w:rsid w:val="00525D24"/>
    <w:rsid w:val="005261E2"/>
    <w:rsid w:val="0053002E"/>
    <w:rsid w:val="00530A43"/>
    <w:rsid w:val="00531F2B"/>
    <w:rsid w:val="00541379"/>
    <w:rsid w:val="00543894"/>
    <w:rsid w:val="00544C5E"/>
    <w:rsid w:val="0055198D"/>
    <w:rsid w:val="00556FAD"/>
    <w:rsid w:val="005571A5"/>
    <w:rsid w:val="00564EB2"/>
    <w:rsid w:val="005651A4"/>
    <w:rsid w:val="005658B0"/>
    <w:rsid w:val="00565C86"/>
    <w:rsid w:val="00566F12"/>
    <w:rsid w:val="00567ABC"/>
    <w:rsid w:val="00573DB5"/>
    <w:rsid w:val="00575BA8"/>
    <w:rsid w:val="0057611A"/>
    <w:rsid w:val="00580804"/>
    <w:rsid w:val="00581C20"/>
    <w:rsid w:val="0058227F"/>
    <w:rsid w:val="00582608"/>
    <w:rsid w:val="005919B5"/>
    <w:rsid w:val="00591F8B"/>
    <w:rsid w:val="00596CE3"/>
    <w:rsid w:val="005A022E"/>
    <w:rsid w:val="005A0968"/>
    <w:rsid w:val="005B076D"/>
    <w:rsid w:val="005B0876"/>
    <w:rsid w:val="005B15D7"/>
    <w:rsid w:val="005B2F07"/>
    <w:rsid w:val="005B57C1"/>
    <w:rsid w:val="005B598C"/>
    <w:rsid w:val="005C2035"/>
    <w:rsid w:val="005C4DC0"/>
    <w:rsid w:val="005D0BE7"/>
    <w:rsid w:val="005D40A6"/>
    <w:rsid w:val="005D53CB"/>
    <w:rsid w:val="005D5A5B"/>
    <w:rsid w:val="005E132E"/>
    <w:rsid w:val="005E53C7"/>
    <w:rsid w:val="005F35A5"/>
    <w:rsid w:val="005F4FF8"/>
    <w:rsid w:val="005F6349"/>
    <w:rsid w:val="005F787C"/>
    <w:rsid w:val="0061668E"/>
    <w:rsid w:val="00620130"/>
    <w:rsid w:val="00620C30"/>
    <w:rsid w:val="0062112B"/>
    <w:rsid w:val="00622F40"/>
    <w:rsid w:val="006250F0"/>
    <w:rsid w:val="00625E3F"/>
    <w:rsid w:val="006264D1"/>
    <w:rsid w:val="00626B61"/>
    <w:rsid w:val="00626F5F"/>
    <w:rsid w:val="0063588F"/>
    <w:rsid w:val="006363E7"/>
    <w:rsid w:val="006407B2"/>
    <w:rsid w:val="00641B5F"/>
    <w:rsid w:val="00642E1E"/>
    <w:rsid w:val="00646562"/>
    <w:rsid w:val="00653F05"/>
    <w:rsid w:val="00654018"/>
    <w:rsid w:val="00655DC9"/>
    <w:rsid w:val="00656768"/>
    <w:rsid w:val="00660ABF"/>
    <w:rsid w:val="0066656B"/>
    <w:rsid w:val="00670F55"/>
    <w:rsid w:val="0067353D"/>
    <w:rsid w:val="00674705"/>
    <w:rsid w:val="00676845"/>
    <w:rsid w:val="00683F89"/>
    <w:rsid w:val="006950BD"/>
    <w:rsid w:val="00697BA5"/>
    <w:rsid w:val="006A03CB"/>
    <w:rsid w:val="006A2120"/>
    <w:rsid w:val="006A2F68"/>
    <w:rsid w:val="006A310A"/>
    <w:rsid w:val="006A4D4F"/>
    <w:rsid w:val="006A53FD"/>
    <w:rsid w:val="006B15DC"/>
    <w:rsid w:val="006B628B"/>
    <w:rsid w:val="006C47D0"/>
    <w:rsid w:val="006D4CF1"/>
    <w:rsid w:val="006D5B66"/>
    <w:rsid w:val="006E2640"/>
    <w:rsid w:val="006E3941"/>
    <w:rsid w:val="006E671C"/>
    <w:rsid w:val="006F46D6"/>
    <w:rsid w:val="006F4994"/>
    <w:rsid w:val="006F5750"/>
    <w:rsid w:val="006F74AA"/>
    <w:rsid w:val="006F77E2"/>
    <w:rsid w:val="00701F54"/>
    <w:rsid w:val="00702AC9"/>
    <w:rsid w:val="007103C1"/>
    <w:rsid w:val="00713F87"/>
    <w:rsid w:val="00717ADD"/>
    <w:rsid w:val="00720115"/>
    <w:rsid w:val="00721904"/>
    <w:rsid w:val="00722841"/>
    <w:rsid w:val="007262A1"/>
    <w:rsid w:val="00726D0E"/>
    <w:rsid w:val="007301D2"/>
    <w:rsid w:val="00730DA2"/>
    <w:rsid w:val="007341E2"/>
    <w:rsid w:val="0074067D"/>
    <w:rsid w:val="00741586"/>
    <w:rsid w:val="0075112C"/>
    <w:rsid w:val="00751C51"/>
    <w:rsid w:val="00755A57"/>
    <w:rsid w:val="00755D1C"/>
    <w:rsid w:val="007602FF"/>
    <w:rsid w:val="00760A39"/>
    <w:rsid w:val="00760CB9"/>
    <w:rsid w:val="00781C6B"/>
    <w:rsid w:val="007862A7"/>
    <w:rsid w:val="007A26CB"/>
    <w:rsid w:val="007A2C0D"/>
    <w:rsid w:val="007A37D2"/>
    <w:rsid w:val="007A7A2C"/>
    <w:rsid w:val="007B39F5"/>
    <w:rsid w:val="007C1E3D"/>
    <w:rsid w:val="007C352A"/>
    <w:rsid w:val="007D62C3"/>
    <w:rsid w:val="007E03CF"/>
    <w:rsid w:val="007E6202"/>
    <w:rsid w:val="007F05C0"/>
    <w:rsid w:val="008053AD"/>
    <w:rsid w:val="00806C8F"/>
    <w:rsid w:val="00822C7D"/>
    <w:rsid w:val="00824957"/>
    <w:rsid w:val="00824D65"/>
    <w:rsid w:val="00830953"/>
    <w:rsid w:val="00832461"/>
    <w:rsid w:val="00834D6D"/>
    <w:rsid w:val="008402C8"/>
    <w:rsid w:val="00841A9F"/>
    <w:rsid w:val="00841F42"/>
    <w:rsid w:val="00850CD2"/>
    <w:rsid w:val="0085665A"/>
    <w:rsid w:val="00856C10"/>
    <w:rsid w:val="008641D3"/>
    <w:rsid w:val="00865E89"/>
    <w:rsid w:val="0087097F"/>
    <w:rsid w:val="00870A82"/>
    <w:rsid w:val="0087390D"/>
    <w:rsid w:val="0087435C"/>
    <w:rsid w:val="008751AF"/>
    <w:rsid w:val="0087645E"/>
    <w:rsid w:val="008824AE"/>
    <w:rsid w:val="00895D5A"/>
    <w:rsid w:val="00897BC3"/>
    <w:rsid w:val="00897D3A"/>
    <w:rsid w:val="008A00D2"/>
    <w:rsid w:val="008A0E4C"/>
    <w:rsid w:val="008A12E9"/>
    <w:rsid w:val="008A18A7"/>
    <w:rsid w:val="008A481C"/>
    <w:rsid w:val="008A5D29"/>
    <w:rsid w:val="008A7441"/>
    <w:rsid w:val="008B0673"/>
    <w:rsid w:val="008B2B07"/>
    <w:rsid w:val="008B54A3"/>
    <w:rsid w:val="008B5B08"/>
    <w:rsid w:val="008D0AD0"/>
    <w:rsid w:val="008D0AEF"/>
    <w:rsid w:val="008D0B0F"/>
    <w:rsid w:val="008D0C55"/>
    <w:rsid w:val="008D16A0"/>
    <w:rsid w:val="008D5BD1"/>
    <w:rsid w:val="008E5E6C"/>
    <w:rsid w:val="008F3CFD"/>
    <w:rsid w:val="009020AC"/>
    <w:rsid w:val="0091040C"/>
    <w:rsid w:val="0091581C"/>
    <w:rsid w:val="00921A4D"/>
    <w:rsid w:val="009442C4"/>
    <w:rsid w:val="009515E0"/>
    <w:rsid w:val="00953626"/>
    <w:rsid w:val="00953BEF"/>
    <w:rsid w:val="00957871"/>
    <w:rsid w:val="0096336D"/>
    <w:rsid w:val="009642B0"/>
    <w:rsid w:val="00964763"/>
    <w:rsid w:val="00964BC1"/>
    <w:rsid w:val="00973AC6"/>
    <w:rsid w:val="00975157"/>
    <w:rsid w:val="00976BED"/>
    <w:rsid w:val="009810A1"/>
    <w:rsid w:val="009826DC"/>
    <w:rsid w:val="00984889"/>
    <w:rsid w:val="00987344"/>
    <w:rsid w:val="0099107F"/>
    <w:rsid w:val="009A0552"/>
    <w:rsid w:val="009A0C91"/>
    <w:rsid w:val="009A5632"/>
    <w:rsid w:val="009A6F58"/>
    <w:rsid w:val="009A7902"/>
    <w:rsid w:val="009A7DE1"/>
    <w:rsid w:val="009B3673"/>
    <w:rsid w:val="009B39E2"/>
    <w:rsid w:val="009B56AE"/>
    <w:rsid w:val="009B76C2"/>
    <w:rsid w:val="009C6CDD"/>
    <w:rsid w:val="009C70AA"/>
    <w:rsid w:val="009C745C"/>
    <w:rsid w:val="009D0083"/>
    <w:rsid w:val="009D3D36"/>
    <w:rsid w:val="009D530F"/>
    <w:rsid w:val="009D7841"/>
    <w:rsid w:val="009D796C"/>
    <w:rsid w:val="009D7C3F"/>
    <w:rsid w:val="009E0AEA"/>
    <w:rsid w:val="009E2A3D"/>
    <w:rsid w:val="009E328F"/>
    <w:rsid w:val="009E3595"/>
    <w:rsid w:val="009F237F"/>
    <w:rsid w:val="009F3C87"/>
    <w:rsid w:val="009F4D74"/>
    <w:rsid w:val="009F7BE9"/>
    <w:rsid w:val="00A0206D"/>
    <w:rsid w:val="00A032C9"/>
    <w:rsid w:val="00A0609D"/>
    <w:rsid w:val="00A06B67"/>
    <w:rsid w:val="00A075BE"/>
    <w:rsid w:val="00A1310F"/>
    <w:rsid w:val="00A13EF7"/>
    <w:rsid w:val="00A15CF5"/>
    <w:rsid w:val="00A205FD"/>
    <w:rsid w:val="00A21E56"/>
    <w:rsid w:val="00A22748"/>
    <w:rsid w:val="00A24EEB"/>
    <w:rsid w:val="00A35DDA"/>
    <w:rsid w:val="00A37788"/>
    <w:rsid w:val="00A41930"/>
    <w:rsid w:val="00A50238"/>
    <w:rsid w:val="00A543F2"/>
    <w:rsid w:val="00A551BA"/>
    <w:rsid w:val="00A61F3C"/>
    <w:rsid w:val="00A622F9"/>
    <w:rsid w:val="00A62911"/>
    <w:rsid w:val="00A62979"/>
    <w:rsid w:val="00A6374D"/>
    <w:rsid w:val="00A646B1"/>
    <w:rsid w:val="00A65891"/>
    <w:rsid w:val="00A72C03"/>
    <w:rsid w:val="00A72D15"/>
    <w:rsid w:val="00A72D5A"/>
    <w:rsid w:val="00A765F7"/>
    <w:rsid w:val="00A825A1"/>
    <w:rsid w:val="00A8430B"/>
    <w:rsid w:val="00A852D0"/>
    <w:rsid w:val="00A85903"/>
    <w:rsid w:val="00A85C0E"/>
    <w:rsid w:val="00A917EF"/>
    <w:rsid w:val="00A9230C"/>
    <w:rsid w:val="00A94B31"/>
    <w:rsid w:val="00A94BF3"/>
    <w:rsid w:val="00A94F59"/>
    <w:rsid w:val="00A9714D"/>
    <w:rsid w:val="00A97A29"/>
    <w:rsid w:val="00AA3D98"/>
    <w:rsid w:val="00AA45C0"/>
    <w:rsid w:val="00AA5846"/>
    <w:rsid w:val="00AB3025"/>
    <w:rsid w:val="00AC0F85"/>
    <w:rsid w:val="00AC60C4"/>
    <w:rsid w:val="00AC6638"/>
    <w:rsid w:val="00AD0540"/>
    <w:rsid w:val="00AD1853"/>
    <w:rsid w:val="00AD2B42"/>
    <w:rsid w:val="00AD37AF"/>
    <w:rsid w:val="00AD6F7A"/>
    <w:rsid w:val="00AE4E1E"/>
    <w:rsid w:val="00AF3998"/>
    <w:rsid w:val="00AF41BE"/>
    <w:rsid w:val="00AF6E50"/>
    <w:rsid w:val="00B03349"/>
    <w:rsid w:val="00B06893"/>
    <w:rsid w:val="00B06AC3"/>
    <w:rsid w:val="00B12995"/>
    <w:rsid w:val="00B1582B"/>
    <w:rsid w:val="00B17FA8"/>
    <w:rsid w:val="00B2263E"/>
    <w:rsid w:val="00B22A10"/>
    <w:rsid w:val="00B26C5D"/>
    <w:rsid w:val="00B27B52"/>
    <w:rsid w:val="00B33D71"/>
    <w:rsid w:val="00B40E48"/>
    <w:rsid w:val="00B42EA4"/>
    <w:rsid w:val="00B5145C"/>
    <w:rsid w:val="00B5620C"/>
    <w:rsid w:val="00B6716E"/>
    <w:rsid w:val="00B74E31"/>
    <w:rsid w:val="00B76CD7"/>
    <w:rsid w:val="00B77A3F"/>
    <w:rsid w:val="00B77DA9"/>
    <w:rsid w:val="00B80B21"/>
    <w:rsid w:val="00B8357F"/>
    <w:rsid w:val="00B92DCF"/>
    <w:rsid w:val="00BA3343"/>
    <w:rsid w:val="00BA3838"/>
    <w:rsid w:val="00BA3A12"/>
    <w:rsid w:val="00BA6520"/>
    <w:rsid w:val="00BB057F"/>
    <w:rsid w:val="00BB493B"/>
    <w:rsid w:val="00BB4C8C"/>
    <w:rsid w:val="00BC041F"/>
    <w:rsid w:val="00BC0987"/>
    <w:rsid w:val="00BC59DA"/>
    <w:rsid w:val="00BD43C6"/>
    <w:rsid w:val="00BE3785"/>
    <w:rsid w:val="00BE47B5"/>
    <w:rsid w:val="00BE6C12"/>
    <w:rsid w:val="00BF505F"/>
    <w:rsid w:val="00BF64FE"/>
    <w:rsid w:val="00C070D0"/>
    <w:rsid w:val="00C07586"/>
    <w:rsid w:val="00C2496D"/>
    <w:rsid w:val="00C25912"/>
    <w:rsid w:val="00C269AC"/>
    <w:rsid w:val="00C26D48"/>
    <w:rsid w:val="00C33071"/>
    <w:rsid w:val="00C3483A"/>
    <w:rsid w:val="00C368C1"/>
    <w:rsid w:val="00C42C20"/>
    <w:rsid w:val="00C45520"/>
    <w:rsid w:val="00C45B98"/>
    <w:rsid w:val="00C45BEC"/>
    <w:rsid w:val="00C473FB"/>
    <w:rsid w:val="00C47F02"/>
    <w:rsid w:val="00C56E5C"/>
    <w:rsid w:val="00C575DF"/>
    <w:rsid w:val="00C57B93"/>
    <w:rsid w:val="00C60732"/>
    <w:rsid w:val="00C63FA2"/>
    <w:rsid w:val="00C66C84"/>
    <w:rsid w:val="00C73AD8"/>
    <w:rsid w:val="00C73B6D"/>
    <w:rsid w:val="00C7640F"/>
    <w:rsid w:val="00C7731E"/>
    <w:rsid w:val="00C8081A"/>
    <w:rsid w:val="00C80F3C"/>
    <w:rsid w:val="00C83685"/>
    <w:rsid w:val="00C83A0E"/>
    <w:rsid w:val="00C84AA9"/>
    <w:rsid w:val="00C86B1F"/>
    <w:rsid w:val="00C91380"/>
    <w:rsid w:val="00C91B03"/>
    <w:rsid w:val="00C938E0"/>
    <w:rsid w:val="00C942F4"/>
    <w:rsid w:val="00C95F37"/>
    <w:rsid w:val="00CA203E"/>
    <w:rsid w:val="00CA5E81"/>
    <w:rsid w:val="00CA6F2E"/>
    <w:rsid w:val="00CB4387"/>
    <w:rsid w:val="00CB47D7"/>
    <w:rsid w:val="00CC4AF8"/>
    <w:rsid w:val="00CC62F9"/>
    <w:rsid w:val="00CC7638"/>
    <w:rsid w:val="00CC77C9"/>
    <w:rsid w:val="00CD1EC9"/>
    <w:rsid w:val="00CD3AD3"/>
    <w:rsid w:val="00CD46C4"/>
    <w:rsid w:val="00CE27B9"/>
    <w:rsid w:val="00CE723A"/>
    <w:rsid w:val="00CE7F94"/>
    <w:rsid w:val="00CF1613"/>
    <w:rsid w:val="00CF2FFF"/>
    <w:rsid w:val="00CF3931"/>
    <w:rsid w:val="00CF4F53"/>
    <w:rsid w:val="00D0094B"/>
    <w:rsid w:val="00D02015"/>
    <w:rsid w:val="00D04FD6"/>
    <w:rsid w:val="00D138BB"/>
    <w:rsid w:val="00D15253"/>
    <w:rsid w:val="00D20108"/>
    <w:rsid w:val="00D21416"/>
    <w:rsid w:val="00D24C30"/>
    <w:rsid w:val="00D26810"/>
    <w:rsid w:val="00D36814"/>
    <w:rsid w:val="00D40486"/>
    <w:rsid w:val="00D54900"/>
    <w:rsid w:val="00D54CB3"/>
    <w:rsid w:val="00D54CB8"/>
    <w:rsid w:val="00D56702"/>
    <w:rsid w:val="00D6016B"/>
    <w:rsid w:val="00D60279"/>
    <w:rsid w:val="00D62530"/>
    <w:rsid w:val="00D7080F"/>
    <w:rsid w:val="00D7104E"/>
    <w:rsid w:val="00D8022A"/>
    <w:rsid w:val="00D8079B"/>
    <w:rsid w:val="00D807BB"/>
    <w:rsid w:val="00D80EB9"/>
    <w:rsid w:val="00D92A21"/>
    <w:rsid w:val="00D95463"/>
    <w:rsid w:val="00D96E34"/>
    <w:rsid w:val="00DA3465"/>
    <w:rsid w:val="00DA5237"/>
    <w:rsid w:val="00DA5521"/>
    <w:rsid w:val="00DA6CB7"/>
    <w:rsid w:val="00DB04C0"/>
    <w:rsid w:val="00DB203D"/>
    <w:rsid w:val="00DB3267"/>
    <w:rsid w:val="00DB345C"/>
    <w:rsid w:val="00DB3AE5"/>
    <w:rsid w:val="00DB537D"/>
    <w:rsid w:val="00DC0F00"/>
    <w:rsid w:val="00DD5A25"/>
    <w:rsid w:val="00DE2EA4"/>
    <w:rsid w:val="00DF0873"/>
    <w:rsid w:val="00DF4321"/>
    <w:rsid w:val="00DF4F7C"/>
    <w:rsid w:val="00E001D5"/>
    <w:rsid w:val="00E01794"/>
    <w:rsid w:val="00E03529"/>
    <w:rsid w:val="00E05C06"/>
    <w:rsid w:val="00E06BE2"/>
    <w:rsid w:val="00E075AD"/>
    <w:rsid w:val="00E116DD"/>
    <w:rsid w:val="00E15582"/>
    <w:rsid w:val="00E1674A"/>
    <w:rsid w:val="00E17CD2"/>
    <w:rsid w:val="00E23933"/>
    <w:rsid w:val="00E2684E"/>
    <w:rsid w:val="00E26AB4"/>
    <w:rsid w:val="00E27636"/>
    <w:rsid w:val="00E32EFB"/>
    <w:rsid w:val="00E41716"/>
    <w:rsid w:val="00E508E6"/>
    <w:rsid w:val="00E51887"/>
    <w:rsid w:val="00E6089F"/>
    <w:rsid w:val="00E61503"/>
    <w:rsid w:val="00E636A6"/>
    <w:rsid w:val="00E640ED"/>
    <w:rsid w:val="00E65452"/>
    <w:rsid w:val="00E66109"/>
    <w:rsid w:val="00E7284B"/>
    <w:rsid w:val="00E74245"/>
    <w:rsid w:val="00E84A48"/>
    <w:rsid w:val="00E9536C"/>
    <w:rsid w:val="00E962EC"/>
    <w:rsid w:val="00E96C2A"/>
    <w:rsid w:val="00EA1303"/>
    <w:rsid w:val="00EA1696"/>
    <w:rsid w:val="00EA5E14"/>
    <w:rsid w:val="00EB5D80"/>
    <w:rsid w:val="00EB6C1B"/>
    <w:rsid w:val="00EB6FF6"/>
    <w:rsid w:val="00EC073F"/>
    <w:rsid w:val="00EC435F"/>
    <w:rsid w:val="00EC5F1B"/>
    <w:rsid w:val="00EC7142"/>
    <w:rsid w:val="00ED1929"/>
    <w:rsid w:val="00EE1573"/>
    <w:rsid w:val="00EE567A"/>
    <w:rsid w:val="00EE5E8D"/>
    <w:rsid w:val="00EE67A2"/>
    <w:rsid w:val="00EF0708"/>
    <w:rsid w:val="00EF4DCD"/>
    <w:rsid w:val="00EF73E8"/>
    <w:rsid w:val="00F00352"/>
    <w:rsid w:val="00F02242"/>
    <w:rsid w:val="00F02981"/>
    <w:rsid w:val="00F05A60"/>
    <w:rsid w:val="00F24395"/>
    <w:rsid w:val="00F26E24"/>
    <w:rsid w:val="00F2731E"/>
    <w:rsid w:val="00F32970"/>
    <w:rsid w:val="00F40501"/>
    <w:rsid w:val="00F41333"/>
    <w:rsid w:val="00F41A38"/>
    <w:rsid w:val="00F41B02"/>
    <w:rsid w:val="00F422F4"/>
    <w:rsid w:val="00F43A96"/>
    <w:rsid w:val="00F43C4C"/>
    <w:rsid w:val="00F43F54"/>
    <w:rsid w:val="00F44C47"/>
    <w:rsid w:val="00F45865"/>
    <w:rsid w:val="00F51A7F"/>
    <w:rsid w:val="00F569EF"/>
    <w:rsid w:val="00F6207B"/>
    <w:rsid w:val="00F6252C"/>
    <w:rsid w:val="00F63966"/>
    <w:rsid w:val="00F64190"/>
    <w:rsid w:val="00F668A3"/>
    <w:rsid w:val="00F77F1D"/>
    <w:rsid w:val="00F81713"/>
    <w:rsid w:val="00F96ED8"/>
    <w:rsid w:val="00FA5F70"/>
    <w:rsid w:val="00FA6A03"/>
    <w:rsid w:val="00FA7887"/>
    <w:rsid w:val="00FB281F"/>
    <w:rsid w:val="00FB3B36"/>
    <w:rsid w:val="00FB6FFE"/>
    <w:rsid w:val="00FC2900"/>
    <w:rsid w:val="00FC54C0"/>
    <w:rsid w:val="00FC7916"/>
    <w:rsid w:val="00FD00A6"/>
    <w:rsid w:val="00FD0D1E"/>
    <w:rsid w:val="00FD11FD"/>
    <w:rsid w:val="00FE35BF"/>
    <w:rsid w:val="00FF0FD3"/>
    <w:rsid w:val="00FF1293"/>
    <w:rsid w:val="00FF19C3"/>
    <w:rsid w:val="00FF2ADA"/>
    <w:rsid w:val="00FF78AF"/>
    <w:rsid w:val="02B509A2"/>
    <w:rsid w:val="03E0F2F2"/>
    <w:rsid w:val="04E56CD8"/>
    <w:rsid w:val="0ADA291B"/>
    <w:rsid w:val="0B037128"/>
    <w:rsid w:val="0E004C6C"/>
    <w:rsid w:val="0E578D59"/>
    <w:rsid w:val="0F86EECB"/>
    <w:rsid w:val="13D44121"/>
    <w:rsid w:val="194EF435"/>
    <w:rsid w:val="1C931F66"/>
    <w:rsid w:val="1EB330F2"/>
    <w:rsid w:val="20AC89C3"/>
    <w:rsid w:val="21759918"/>
    <w:rsid w:val="2292DD0B"/>
    <w:rsid w:val="24F8B8F5"/>
    <w:rsid w:val="263ABE1C"/>
    <w:rsid w:val="269A9791"/>
    <w:rsid w:val="269C9D7A"/>
    <w:rsid w:val="26FC150C"/>
    <w:rsid w:val="289F1FCA"/>
    <w:rsid w:val="291C9A14"/>
    <w:rsid w:val="2A4A07B6"/>
    <w:rsid w:val="2D2440FE"/>
    <w:rsid w:val="2E9D2BF7"/>
    <w:rsid w:val="303FBC78"/>
    <w:rsid w:val="35287072"/>
    <w:rsid w:val="380A6D6B"/>
    <w:rsid w:val="3B377DB4"/>
    <w:rsid w:val="3B4DC238"/>
    <w:rsid w:val="3C5D98E6"/>
    <w:rsid w:val="3D548868"/>
    <w:rsid w:val="3E5477E9"/>
    <w:rsid w:val="413A3E96"/>
    <w:rsid w:val="41A91007"/>
    <w:rsid w:val="43604964"/>
    <w:rsid w:val="43D185A6"/>
    <w:rsid w:val="446BDB44"/>
    <w:rsid w:val="44FA580E"/>
    <w:rsid w:val="45BDB41E"/>
    <w:rsid w:val="46D4A850"/>
    <w:rsid w:val="48775FA2"/>
    <w:rsid w:val="4C2D5C49"/>
    <w:rsid w:val="4CA8DEDD"/>
    <w:rsid w:val="4F2CDDBB"/>
    <w:rsid w:val="4FCA67BF"/>
    <w:rsid w:val="51D6CCCB"/>
    <w:rsid w:val="53349537"/>
    <w:rsid w:val="54F7516B"/>
    <w:rsid w:val="55622C35"/>
    <w:rsid w:val="56DF0215"/>
    <w:rsid w:val="57829799"/>
    <w:rsid w:val="585130D3"/>
    <w:rsid w:val="5BF9E3F4"/>
    <w:rsid w:val="5DCAE121"/>
    <w:rsid w:val="5DFB24B7"/>
    <w:rsid w:val="5F50669C"/>
    <w:rsid w:val="61647132"/>
    <w:rsid w:val="6280AC27"/>
    <w:rsid w:val="63921CB9"/>
    <w:rsid w:val="64E2D0D7"/>
    <w:rsid w:val="65767500"/>
    <w:rsid w:val="65F31D57"/>
    <w:rsid w:val="6671131B"/>
    <w:rsid w:val="67BC5302"/>
    <w:rsid w:val="68BA7CA4"/>
    <w:rsid w:val="6A436D7D"/>
    <w:rsid w:val="6A679236"/>
    <w:rsid w:val="6AA2306C"/>
    <w:rsid w:val="6C6D7A43"/>
    <w:rsid w:val="6E4B3D2E"/>
    <w:rsid w:val="6F1215E2"/>
    <w:rsid w:val="737954BA"/>
    <w:rsid w:val="742B7F59"/>
    <w:rsid w:val="7468FD47"/>
    <w:rsid w:val="752892AC"/>
    <w:rsid w:val="7C9383BC"/>
    <w:rsid w:val="7E0FF801"/>
    <w:rsid w:val="7F3375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B592"/>
  <w15:chartTrackingRefBased/>
  <w15:docId w15:val="{AB34DDCC-788E-4D7E-9287-151EBF2B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4"/>
        <w:szCs w:val="24"/>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C7DB1"/>
  </w:style>
  <w:style w:type="paragraph" w:styleId="Heading1">
    <w:name w:val="heading 1"/>
    <w:basedOn w:val="Normal"/>
    <w:next w:val="Normal"/>
    <w:link w:val="Heading1Char"/>
    <w:autoRedefine/>
    <w:uiPriority w:val="9"/>
    <w:qFormat/>
    <w:rsid w:val="00BA3343"/>
    <w:pPr>
      <w:keepNext/>
      <w:keepLines/>
      <w:spacing w:after="240"/>
      <w:outlineLvl w:val="0"/>
    </w:pPr>
    <w:rPr>
      <w:rFonts w:eastAsiaTheme="majorEastAsia" w:cstheme="majorBidi"/>
      <w:bCs/>
      <w:color w:val="2C3E50" w:themeColor="text2"/>
      <w:sz w:val="36"/>
      <w:szCs w:val="36"/>
    </w:rPr>
  </w:style>
  <w:style w:type="paragraph" w:styleId="Heading2">
    <w:name w:val="heading 2"/>
    <w:basedOn w:val="Normal"/>
    <w:next w:val="Normal"/>
    <w:link w:val="Heading2Char"/>
    <w:autoRedefine/>
    <w:uiPriority w:val="9"/>
    <w:unhideWhenUsed/>
    <w:qFormat/>
    <w:rsid w:val="00676845"/>
    <w:pPr>
      <w:keepNext/>
      <w:keepLines/>
      <w:spacing w:before="40" w:after="0"/>
      <w:outlineLvl w:val="1"/>
    </w:pPr>
    <w:rPr>
      <w:rFonts w:eastAsiaTheme="majorEastAsia" w:cstheme="majorBidi"/>
      <w:b/>
      <w:bCs/>
      <w:color w:val="2C3E50" w:themeColor="text2"/>
      <w:sz w:val="32"/>
      <w:szCs w:val="26"/>
    </w:rPr>
  </w:style>
  <w:style w:type="paragraph" w:styleId="Heading3">
    <w:name w:val="heading 3"/>
    <w:basedOn w:val="Normal"/>
    <w:next w:val="Normal"/>
    <w:link w:val="Heading3Char"/>
    <w:autoRedefine/>
    <w:uiPriority w:val="9"/>
    <w:unhideWhenUsed/>
    <w:qFormat/>
    <w:rsid w:val="00676845"/>
    <w:pPr>
      <w:keepNext/>
      <w:keepLines/>
      <w:spacing w:before="200" w:after="100"/>
      <w:outlineLvl w:val="2"/>
    </w:pPr>
    <w:rPr>
      <w:rFonts w:ascii="Calibri" w:eastAsiaTheme="majorEastAsia" w:hAnsi="Calibri" w:cstheme="majorBidi"/>
      <w:bCs/>
      <w:color w:val="2C3E50" w:themeColor="accent1"/>
      <w:sz w:val="28"/>
      <w:szCs w:val="28"/>
    </w:rPr>
  </w:style>
  <w:style w:type="paragraph" w:styleId="Heading4">
    <w:name w:val="heading 4"/>
    <w:basedOn w:val="Normal"/>
    <w:next w:val="Normal"/>
    <w:link w:val="Heading4Char"/>
    <w:uiPriority w:val="9"/>
    <w:unhideWhenUsed/>
    <w:qFormat/>
    <w:rsid w:val="00CB47D7"/>
    <w:pPr>
      <w:keepNext/>
      <w:keepLines/>
      <w:spacing w:before="40" w:after="0"/>
      <w:outlineLvl w:val="3"/>
    </w:pPr>
    <w:rPr>
      <w:rFonts w:eastAsiaTheme="majorEastAsia" w:cstheme="majorBidi"/>
      <w:i/>
      <w:iCs/>
      <w:color w:val="212E3B" w:themeColor="accent1" w:themeShade="BF"/>
    </w:rPr>
  </w:style>
  <w:style w:type="paragraph" w:styleId="Heading5">
    <w:name w:val="heading 5"/>
    <w:basedOn w:val="Normal"/>
    <w:next w:val="Normal"/>
    <w:link w:val="Heading5Char"/>
    <w:uiPriority w:val="9"/>
    <w:unhideWhenUsed/>
    <w:rsid w:val="00CB47D7"/>
    <w:pPr>
      <w:keepNext/>
      <w:keepLines/>
      <w:spacing w:before="40" w:after="0"/>
      <w:outlineLvl w:val="4"/>
    </w:pPr>
    <w:rPr>
      <w:rFonts w:eastAsiaTheme="majorEastAsia" w:cstheme="majorBidi"/>
      <w:color w:val="212E3B" w:themeColor="accent1" w:themeShade="BF"/>
    </w:rPr>
  </w:style>
  <w:style w:type="paragraph" w:styleId="Heading6">
    <w:name w:val="heading 6"/>
    <w:basedOn w:val="Normal"/>
    <w:next w:val="Normal"/>
    <w:link w:val="Heading6Char"/>
    <w:uiPriority w:val="9"/>
    <w:unhideWhenUsed/>
    <w:rsid w:val="00CB47D7"/>
    <w:pPr>
      <w:keepNext/>
      <w:keepLines/>
      <w:spacing w:before="40" w:after="0"/>
      <w:outlineLvl w:val="5"/>
    </w:pPr>
    <w:rPr>
      <w:rFonts w:eastAsiaTheme="majorEastAsia" w:cstheme="majorBidi"/>
      <w:color w:val="161E27" w:themeColor="accent1" w:themeShade="7F"/>
    </w:rPr>
  </w:style>
  <w:style w:type="paragraph" w:styleId="Heading7">
    <w:name w:val="heading 7"/>
    <w:basedOn w:val="Normal"/>
    <w:next w:val="Normal"/>
    <w:link w:val="Heading7Char"/>
    <w:uiPriority w:val="9"/>
    <w:unhideWhenUsed/>
    <w:rsid w:val="00CB47D7"/>
    <w:pPr>
      <w:keepNext/>
      <w:keepLines/>
      <w:spacing w:before="40" w:after="0"/>
      <w:outlineLvl w:val="6"/>
    </w:pPr>
    <w:rPr>
      <w:rFonts w:eastAsiaTheme="majorEastAsia" w:cstheme="majorBidi"/>
      <w:i/>
      <w:iCs/>
      <w:color w:val="161E27" w:themeColor="accent1" w:themeShade="7F"/>
    </w:rPr>
  </w:style>
  <w:style w:type="paragraph" w:styleId="Heading8">
    <w:name w:val="heading 8"/>
    <w:basedOn w:val="Normal"/>
    <w:next w:val="Normal"/>
    <w:link w:val="Heading8Char"/>
    <w:uiPriority w:val="9"/>
    <w:unhideWhenUsed/>
    <w:rsid w:val="00CB47D7"/>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CB47D7"/>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343"/>
    <w:rPr>
      <w:rFonts w:eastAsiaTheme="majorEastAsia" w:cstheme="majorBidi"/>
      <w:bCs/>
      <w:color w:val="2C3E50" w:themeColor="text2"/>
      <w:sz w:val="36"/>
      <w:szCs w:val="36"/>
      <w:lang w:val="en-US"/>
    </w:rPr>
  </w:style>
  <w:style w:type="character" w:customStyle="1" w:styleId="Heading2Char">
    <w:name w:val="Heading 2 Char"/>
    <w:basedOn w:val="DefaultParagraphFont"/>
    <w:link w:val="Heading2"/>
    <w:uiPriority w:val="9"/>
    <w:rsid w:val="00676845"/>
    <w:rPr>
      <w:rFonts w:eastAsiaTheme="majorEastAsia" w:cstheme="majorBidi"/>
      <w:b/>
      <w:bCs/>
      <w:color w:val="2C3E50" w:themeColor="text2"/>
      <w:sz w:val="32"/>
      <w:szCs w:val="26"/>
      <w:lang w:val="en-US"/>
    </w:rPr>
  </w:style>
  <w:style w:type="character" w:customStyle="1" w:styleId="Heading3Char">
    <w:name w:val="Heading 3 Char"/>
    <w:basedOn w:val="DefaultParagraphFont"/>
    <w:link w:val="Heading3"/>
    <w:uiPriority w:val="9"/>
    <w:rsid w:val="00676845"/>
    <w:rPr>
      <w:rFonts w:ascii="Calibri" w:eastAsiaTheme="majorEastAsia" w:hAnsi="Calibri" w:cstheme="majorBidi"/>
      <w:bCs/>
      <w:color w:val="2C3E50" w:themeColor="accent1"/>
      <w:sz w:val="28"/>
      <w:szCs w:val="28"/>
      <w:lang w:val="en-US"/>
    </w:rPr>
  </w:style>
  <w:style w:type="paragraph" w:styleId="Title">
    <w:name w:val="Title"/>
    <w:basedOn w:val="Normal"/>
    <w:next w:val="Normal"/>
    <w:link w:val="TitleChar"/>
    <w:autoRedefine/>
    <w:uiPriority w:val="10"/>
    <w:qFormat/>
    <w:rsid w:val="002C7DB1"/>
    <w:pPr>
      <w:spacing w:before="240" w:after="0"/>
      <w:contextualSpacing/>
    </w:pPr>
    <w:rPr>
      <w:rFonts w:asciiTheme="minorHAnsi" w:eastAsiaTheme="majorEastAsia" w:hAnsiTheme="minorHAnsi"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2C7DB1"/>
    <w:rPr>
      <w:rFonts w:asciiTheme="minorHAnsi" w:eastAsiaTheme="majorEastAsia" w:hAnsiTheme="minorHAnsi" w:cstheme="majorBidi"/>
      <w:color w:val="FFFFFF" w:themeColor="background1"/>
      <w:spacing w:val="-10"/>
      <w:kern w:val="28"/>
      <w:sz w:val="72"/>
      <w:szCs w:val="56"/>
      <w:lang w:val="en-US"/>
    </w:rPr>
  </w:style>
  <w:style w:type="character" w:customStyle="1" w:styleId="Heading4Char">
    <w:name w:val="Heading 4 Char"/>
    <w:basedOn w:val="DefaultParagraphFont"/>
    <w:link w:val="Heading4"/>
    <w:uiPriority w:val="9"/>
    <w:rsid w:val="00CB47D7"/>
    <w:rPr>
      <w:rFonts w:asciiTheme="majorHAnsi" w:eastAsiaTheme="majorEastAsia" w:hAnsiTheme="majorHAnsi" w:cstheme="majorBidi"/>
      <w:i/>
      <w:iCs/>
      <w:color w:val="212E3B" w:themeColor="accent1" w:themeShade="BF"/>
      <w:sz w:val="22"/>
    </w:rPr>
  </w:style>
  <w:style w:type="character" w:customStyle="1" w:styleId="Heading5Char">
    <w:name w:val="Heading 5 Char"/>
    <w:basedOn w:val="DefaultParagraphFont"/>
    <w:link w:val="Heading5"/>
    <w:uiPriority w:val="9"/>
    <w:rsid w:val="00CB47D7"/>
    <w:rPr>
      <w:rFonts w:asciiTheme="majorHAnsi" w:eastAsiaTheme="majorEastAsia" w:hAnsiTheme="majorHAnsi" w:cstheme="majorBidi"/>
      <w:color w:val="212E3B" w:themeColor="accent1" w:themeShade="BF"/>
      <w:sz w:val="22"/>
    </w:rPr>
  </w:style>
  <w:style w:type="character" w:customStyle="1" w:styleId="Heading6Char">
    <w:name w:val="Heading 6 Char"/>
    <w:basedOn w:val="DefaultParagraphFont"/>
    <w:link w:val="Heading6"/>
    <w:uiPriority w:val="9"/>
    <w:rsid w:val="00CB47D7"/>
    <w:rPr>
      <w:rFonts w:asciiTheme="majorHAnsi" w:eastAsiaTheme="majorEastAsia" w:hAnsiTheme="majorHAnsi" w:cstheme="majorBidi"/>
      <w:color w:val="161E27" w:themeColor="accent1" w:themeShade="7F"/>
      <w:sz w:val="22"/>
    </w:rPr>
  </w:style>
  <w:style w:type="character" w:customStyle="1" w:styleId="Heading7Char">
    <w:name w:val="Heading 7 Char"/>
    <w:basedOn w:val="DefaultParagraphFont"/>
    <w:link w:val="Heading7"/>
    <w:uiPriority w:val="9"/>
    <w:rsid w:val="00CB47D7"/>
    <w:rPr>
      <w:rFonts w:asciiTheme="majorHAnsi" w:eastAsiaTheme="majorEastAsia" w:hAnsiTheme="majorHAnsi" w:cstheme="majorBidi"/>
      <w:i/>
      <w:iCs/>
      <w:color w:val="161E27" w:themeColor="accent1" w:themeShade="7F"/>
      <w:sz w:val="22"/>
    </w:rPr>
  </w:style>
  <w:style w:type="character" w:customStyle="1" w:styleId="Heading8Char">
    <w:name w:val="Heading 8 Char"/>
    <w:basedOn w:val="DefaultParagraphFont"/>
    <w:link w:val="Heading8"/>
    <w:uiPriority w:val="9"/>
    <w:rsid w:val="00CB47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B47D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83F89"/>
    <w:pPr>
      <w:tabs>
        <w:tab w:val="center" w:pos="4513"/>
        <w:tab w:val="right" w:pos="9026"/>
      </w:tabs>
      <w:spacing w:after="0"/>
    </w:pPr>
  </w:style>
  <w:style w:type="character" w:customStyle="1" w:styleId="HeaderChar">
    <w:name w:val="Header Char"/>
    <w:basedOn w:val="DefaultParagraphFont"/>
    <w:link w:val="Header"/>
    <w:uiPriority w:val="99"/>
    <w:rsid w:val="00683F89"/>
    <w:rPr>
      <w:rFonts w:asciiTheme="majorHAnsi" w:hAnsiTheme="majorHAnsi"/>
      <w:sz w:val="22"/>
    </w:rPr>
  </w:style>
  <w:style w:type="paragraph" w:styleId="Footer">
    <w:name w:val="footer"/>
    <w:basedOn w:val="Normal"/>
    <w:link w:val="FooterChar"/>
    <w:uiPriority w:val="99"/>
    <w:unhideWhenUsed/>
    <w:rsid w:val="003A019A"/>
    <w:pPr>
      <w:tabs>
        <w:tab w:val="center" w:pos="4513"/>
        <w:tab w:val="right" w:pos="9026"/>
      </w:tabs>
      <w:spacing w:after="0"/>
    </w:pPr>
    <w:rPr>
      <w:sz w:val="20"/>
    </w:rPr>
  </w:style>
  <w:style w:type="character" w:customStyle="1" w:styleId="FooterChar">
    <w:name w:val="Footer Char"/>
    <w:basedOn w:val="DefaultParagraphFont"/>
    <w:link w:val="Footer"/>
    <w:uiPriority w:val="99"/>
    <w:rsid w:val="003A019A"/>
    <w:rPr>
      <w:rFonts w:asciiTheme="majorHAnsi" w:hAnsiTheme="majorHAnsi"/>
      <w:sz w:val="20"/>
    </w:rPr>
  </w:style>
  <w:style w:type="character" w:styleId="Hyperlink">
    <w:name w:val="Hyperlink"/>
    <w:basedOn w:val="DefaultParagraphFont"/>
    <w:uiPriority w:val="99"/>
    <w:unhideWhenUsed/>
    <w:rsid w:val="003A019A"/>
    <w:rPr>
      <w:color w:val="2C3E50" w:themeColor="accent1"/>
      <w:u w:val="single"/>
    </w:rPr>
  </w:style>
  <w:style w:type="character" w:styleId="UnresolvedMention">
    <w:name w:val="Unresolved Mention"/>
    <w:basedOn w:val="DefaultParagraphFont"/>
    <w:uiPriority w:val="99"/>
    <w:semiHidden/>
    <w:unhideWhenUsed/>
    <w:rsid w:val="005651A4"/>
    <w:rPr>
      <w:color w:val="605E5C"/>
      <w:shd w:val="clear" w:color="auto" w:fill="E1DFDD"/>
    </w:rPr>
  </w:style>
  <w:style w:type="paragraph" w:styleId="NoSpacing">
    <w:name w:val="No Spacing"/>
    <w:uiPriority w:val="1"/>
    <w:qFormat/>
    <w:rsid w:val="00511358"/>
    <w:rPr>
      <w:sz w:val="22"/>
    </w:rPr>
  </w:style>
  <w:style w:type="paragraph" w:styleId="Quote">
    <w:name w:val="Quote"/>
    <w:basedOn w:val="Normal"/>
    <w:next w:val="Normal"/>
    <w:link w:val="QuoteChar"/>
    <w:uiPriority w:val="29"/>
    <w:qFormat/>
    <w:rsid w:val="003A019A"/>
    <w:pPr>
      <w:spacing w:before="200" w:after="160"/>
      <w:ind w:right="864"/>
    </w:pPr>
    <w:rPr>
      <w:i/>
      <w:iCs/>
      <w:color w:val="404040" w:themeColor="text1" w:themeTint="BF"/>
    </w:rPr>
  </w:style>
  <w:style w:type="character" w:customStyle="1" w:styleId="QuoteChar">
    <w:name w:val="Quote Char"/>
    <w:basedOn w:val="DefaultParagraphFont"/>
    <w:link w:val="Quote"/>
    <w:uiPriority w:val="29"/>
    <w:rsid w:val="003A019A"/>
    <w:rPr>
      <w:rFonts w:asciiTheme="majorHAnsi" w:hAnsiTheme="majorHAnsi"/>
      <w:i/>
      <w:iCs/>
      <w:color w:val="404040" w:themeColor="text1" w:themeTint="BF"/>
      <w:sz w:val="22"/>
    </w:rPr>
  </w:style>
  <w:style w:type="paragraph" w:styleId="IntenseQuote">
    <w:name w:val="Intense Quote"/>
    <w:aliases w:val="Strong Quote"/>
    <w:basedOn w:val="Normal"/>
    <w:next w:val="Normal"/>
    <w:link w:val="IntenseQuoteChar"/>
    <w:uiPriority w:val="30"/>
    <w:qFormat/>
    <w:rsid w:val="003A019A"/>
    <w:pPr>
      <w:spacing w:before="240"/>
      <w:ind w:right="864"/>
    </w:pPr>
    <w:rPr>
      <w:b/>
      <w:i/>
      <w:iCs/>
      <w:color w:val="2C3E50" w:themeColor="accent1"/>
    </w:rPr>
  </w:style>
  <w:style w:type="character" w:customStyle="1" w:styleId="IntenseQuoteChar">
    <w:name w:val="Intense Quote Char"/>
    <w:aliases w:val="Strong Quote Char"/>
    <w:basedOn w:val="DefaultParagraphFont"/>
    <w:link w:val="IntenseQuote"/>
    <w:uiPriority w:val="30"/>
    <w:rsid w:val="003A019A"/>
    <w:rPr>
      <w:rFonts w:asciiTheme="majorHAnsi" w:hAnsiTheme="majorHAnsi"/>
      <w:b/>
      <w:i/>
      <w:iCs/>
      <w:color w:val="2C3E50" w:themeColor="accent1"/>
      <w:sz w:val="22"/>
    </w:rPr>
  </w:style>
  <w:style w:type="paragraph" w:styleId="ListParagraph">
    <w:name w:val="List Paragraph"/>
    <w:basedOn w:val="Normal"/>
    <w:uiPriority w:val="34"/>
    <w:qFormat/>
    <w:rsid w:val="00676845"/>
    <w:pPr>
      <w:numPr>
        <w:numId w:val="3"/>
      </w:numPr>
      <w:spacing w:after="0"/>
      <w:contextualSpacing/>
    </w:pPr>
    <w:rPr>
      <w:rFonts w:asciiTheme="minorHAnsi" w:hAnsiTheme="minorHAnsi" w:cstheme="minorHAnsi"/>
    </w:rPr>
  </w:style>
  <w:style w:type="character" w:styleId="SubtleReference">
    <w:name w:val="Subtle Reference"/>
    <w:basedOn w:val="DefaultParagraphFont"/>
    <w:uiPriority w:val="31"/>
    <w:rsid w:val="003A019A"/>
    <w:rPr>
      <w:smallCaps/>
      <w:color w:val="5A5A5A" w:themeColor="text1" w:themeTint="A5"/>
    </w:rPr>
  </w:style>
  <w:style w:type="character" w:styleId="Emphasis">
    <w:name w:val="Emphasis"/>
    <w:basedOn w:val="DefaultParagraphFont"/>
    <w:uiPriority w:val="20"/>
    <w:qFormat/>
    <w:rsid w:val="003A019A"/>
    <w:rPr>
      <w:i w:val="0"/>
      <w:iCs/>
    </w:rPr>
  </w:style>
  <w:style w:type="paragraph" w:customStyle="1" w:styleId="AMCBodyCopy">
    <w:name w:val="AMC Body Copy"/>
    <w:link w:val="AMCBodyCopyChar"/>
    <w:qFormat/>
    <w:rsid w:val="002C7DB1"/>
    <w:pPr>
      <w:spacing w:before="120" w:line="260" w:lineRule="atLeast"/>
      <w:ind w:left="567"/>
      <w:jc w:val="both"/>
    </w:pPr>
    <w:rPr>
      <w:rFonts w:ascii="Arial" w:eastAsia="Cambria" w:hAnsi="Arial" w:cs="HelveticaNeueCE-Light"/>
      <w:color w:val="2C3E50" w:themeColor="accent1"/>
      <w:sz w:val="20"/>
      <w:szCs w:val="18"/>
    </w:rPr>
  </w:style>
  <w:style w:type="character" w:customStyle="1" w:styleId="AMCBodyCopyChar">
    <w:name w:val="AMC Body Copy Char"/>
    <w:link w:val="AMCBodyCopy"/>
    <w:locked/>
    <w:rsid w:val="002C7DB1"/>
    <w:rPr>
      <w:rFonts w:ascii="Arial" w:eastAsia="Cambria" w:hAnsi="Arial" w:cs="HelveticaNeueCE-Light"/>
      <w:color w:val="2C3E50" w:themeColor="accent1"/>
      <w:sz w:val="20"/>
      <w:szCs w:val="18"/>
    </w:rPr>
  </w:style>
  <w:style w:type="table" w:styleId="TableGrid">
    <w:name w:val="Table Grid"/>
    <w:basedOn w:val="TableNormal"/>
    <w:uiPriority w:val="39"/>
    <w:rsid w:val="005C2035"/>
    <w:pPr>
      <w:spacing w:after="0"/>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079"/>
    <w:rPr>
      <w:sz w:val="16"/>
      <w:szCs w:val="16"/>
    </w:rPr>
  </w:style>
  <w:style w:type="paragraph" w:styleId="CommentText">
    <w:name w:val="annotation text"/>
    <w:basedOn w:val="Normal"/>
    <w:link w:val="CommentTextChar"/>
    <w:uiPriority w:val="99"/>
    <w:unhideWhenUsed/>
    <w:rsid w:val="00111079"/>
    <w:pPr>
      <w:spacing w:after="160"/>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111079"/>
    <w:rPr>
      <w:rFonts w:asciiTheme="minorHAnsi" w:hAnsiTheme="minorHAnsi"/>
      <w:kern w:val="2"/>
      <w:sz w:val="20"/>
      <w:szCs w:val="20"/>
      <w14:ligatures w14:val="standardContextual"/>
    </w:rPr>
  </w:style>
  <w:style w:type="paragraph" w:styleId="Revision">
    <w:name w:val="Revision"/>
    <w:hidden/>
    <w:uiPriority w:val="99"/>
    <w:semiHidden/>
    <w:rsid w:val="00E66109"/>
    <w:pPr>
      <w:spacing w:after="0"/>
    </w:pPr>
    <w:rPr>
      <w:lang w:val="en-US"/>
    </w:rPr>
  </w:style>
  <w:style w:type="paragraph" w:styleId="CommentSubject">
    <w:name w:val="annotation subject"/>
    <w:basedOn w:val="CommentText"/>
    <w:next w:val="CommentText"/>
    <w:link w:val="CommentSubjectChar"/>
    <w:uiPriority w:val="99"/>
    <w:semiHidden/>
    <w:unhideWhenUsed/>
    <w:rsid w:val="00033A28"/>
    <w:pPr>
      <w:spacing w:after="120"/>
    </w:pPr>
    <w:rPr>
      <w:rFonts w:asciiTheme="majorHAnsi" w:hAnsiTheme="majorHAnsi"/>
      <w:b/>
      <w:bCs/>
      <w:kern w:val="0"/>
      <w:lang w:val="en-US"/>
      <w14:ligatures w14:val="none"/>
    </w:rPr>
  </w:style>
  <w:style w:type="character" w:customStyle="1" w:styleId="CommentSubjectChar">
    <w:name w:val="Comment Subject Char"/>
    <w:basedOn w:val="CommentTextChar"/>
    <w:link w:val="CommentSubject"/>
    <w:uiPriority w:val="99"/>
    <w:semiHidden/>
    <w:rsid w:val="00033A28"/>
    <w:rPr>
      <w:rFonts w:asciiTheme="minorHAnsi" w:hAnsiTheme="minorHAnsi"/>
      <w:b/>
      <w:bCs/>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27771">
      <w:bodyDiv w:val="1"/>
      <w:marLeft w:val="0"/>
      <w:marRight w:val="0"/>
      <w:marTop w:val="0"/>
      <w:marBottom w:val="0"/>
      <w:divBdr>
        <w:top w:val="none" w:sz="0" w:space="0" w:color="auto"/>
        <w:left w:val="none" w:sz="0" w:space="0" w:color="auto"/>
        <w:bottom w:val="none" w:sz="0" w:space="0" w:color="auto"/>
        <w:right w:val="none" w:sz="0" w:space="0" w:color="auto"/>
      </w:divBdr>
    </w:div>
    <w:div w:id="828207682">
      <w:bodyDiv w:val="1"/>
      <w:marLeft w:val="0"/>
      <w:marRight w:val="0"/>
      <w:marTop w:val="0"/>
      <w:marBottom w:val="0"/>
      <w:divBdr>
        <w:top w:val="none" w:sz="0" w:space="0" w:color="auto"/>
        <w:left w:val="none" w:sz="0" w:space="0" w:color="auto"/>
        <w:bottom w:val="none" w:sz="0" w:space="0" w:color="auto"/>
        <w:right w:val="none" w:sz="0" w:space="0" w:color="auto"/>
      </w:divBdr>
    </w:div>
    <w:div w:id="1305543996">
      <w:bodyDiv w:val="1"/>
      <w:marLeft w:val="0"/>
      <w:marRight w:val="0"/>
      <w:marTop w:val="0"/>
      <w:marBottom w:val="0"/>
      <w:divBdr>
        <w:top w:val="none" w:sz="0" w:space="0" w:color="auto"/>
        <w:left w:val="none" w:sz="0" w:space="0" w:color="auto"/>
        <w:bottom w:val="none" w:sz="0" w:space="0" w:color="auto"/>
        <w:right w:val="none" w:sz="0" w:space="0" w:color="auto"/>
      </w:divBdr>
    </w:div>
    <w:div w:id="1327057621">
      <w:bodyDiv w:val="1"/>
      <w:marLeft w:val="0"/>
      <w:marRight w:val="0"/>
      <w:marTop w:val="0"/>
      <w:marBottom w:val="0"/>
      <w:divBdr>
        <w:top w:val="none" w:sz="0" w:space="0" w:color="auto"/>
        <w:left w:val="none" w:sz="0" w:space="0" w:color="auto"/>
        <w:bottom w:val="none" w:sz="0" w:space="0" w:color="auto"/>
        <w:right w:val="none" w:sz="0" w:space="0" w:color="auto"/>
      </w:divBdr>
    </w:div>
    <w:div w:id="19226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fidgeon@anzca.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amc.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lian Medical Council">
      <a:dk1>
        <a:srgbClr val="000000"/>
      </a:dk1>
      <a:lt1>
        <a:srgbClr val="FFFFFF"/>
      </a:lt1>
      <a:dk2>
        <a:srgbClr val="2C3E50"/>
      </a:dk2>
      <a:lt2>
        <a:srgbClr val="3CAABE"/>
      </a:lt2>
      <a:accent1>
        <a:srgbClr val="2C3E50"/>
      </a:accent1>
      <a:accent2>
        <a:srgbClr val="287190"/>
      </a:accent2>
      <a:accent3>
        <a:srgbClr val="3CAABE"/>
      </a:accent3>
      <a:accent4>
        <a:srgbClr val="FFCD05"/>
      </a:accent4>
      <a:accent5>
        <a:srgbClr val="D3DFEA"/>
      </a:accent5>
      <a:accent6>
        <a:srgbClr val="E0F3F6"/>
      </a:accent6>
      <a:hlink>
        <a:srgbClr val="2C3E50"/>
      </a:hlink>
      <a:folHlink>
        <a:srgbClr val="2871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5fd56-fc94-478d-9aa1-a5c57d0fc893" xsi:nil="true"/>
    <lcf76f155ced4ddcb4097134ff3c332f xmlns="3847e427-83eb-4fa3-b554-8dd87ecd4673">
      <Terms xmlns="http://schemas.microsoft.com/office/infopath/2007/PartnerControls"/>
    </lcf76f155ced4ddcb4097134ff3c332f>
    <TaxKeywordTaxHTField xmlns="b8c5fd56-fc94-478d-9aa1-a5c57d0fc893">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C22B9C254E11438E42F8D4F3FC641B" ma:contentTypeVersion="20" ma:contentTypeDescription="Create a new document." ma:contentTypeScope="" ma:versionID="89bdb31a69361fbc880c666fa13b2f85">
  <xsd:schema xmlns:xsd="http://www.w3.org/2001/XMLSchema" xmlns:xs="http://www.w3.org/2001/XMLSchema" xmlns:p="http://schemas.microsoft.com/office/2006/metadata/properties" xmlns:ns2="3847e427-83eb-4fa3-b554-8dd87ecd4673" xmlns:ns3="b8c5fd56-fc94-478d-9aa1-a5c57d0fc893" targetNamespace="http://schemas.microsoft.com/office/2006/metadata/properties" ma:root="true" ma:fieldsID="3518ebcde801d8a6f013a238d0d05e45" ns2:_="" ns3:_="">
    <xsd:import namespace="3847e427-83eb-4fa3-b554-8dd87ecd4673"/>
    <xsd:import namespace="b8c5fd56-fc94-478d-9aa1-a5c57d0fc8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TaxKeywordTaxHTFiel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7e427-83eb-4fa3-b554-8dd87ecd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19fb23-f165-471e-92f0-33eaa75da91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5fd56-fc94-478d-9aa1-a5c57d0fc89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64f10b-64b6-4947-8c9c-a3cb4dc3bb3e}" ma:internalName="TaxCatchAll" ma:showField="CatchAllData" ma:web="b8c5fd56-fc94-478d-9aa1-a5c57d0fc893">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Tags" ma:readOnly="false" ma:fieldId="{23f27201-bee3-471e-b2e7-b64fd8b7ca38}" ma:taxonomyMulti="true" ma:sspId="fd19fb23-f165-471e-92f0-33eaa75da913" ma:termSetId="00000000-0000-0000-0000-000000000000" ma:anchorId="00000000-0000-0000-0000-000000000000" ma:open="true" ma:isKeyword="tru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631F-F03B-47CF-A910-C1D2DD93564C}">
  <ds:schemaRefs>
    <ds:schemaRef ds:uri="http://schemas.microsoft.com/sharepoint/v3/contenttype/forms"/>
  </ds:schemaRefs>
</ds:datastoreItem>
</file>

<file path=customXml/itemProps2.xml><?xml version="1.0" encoding="utf-8"?>
<ds:datastoreItem xmlns:ds="http://schemas.openxmlformats.org/officeDocument/2006/customXml" ds:itemID="{F03E7B07-A9EC-4964-BF71-F2853FF0DAD2}">
  <ds:schemaRefs>
    <ds:schemaRef ds:uri="http://schemas.microsoft.com/office/2006/metadata/properties"/>
    <ds:schemaRef ds:uri="http://schemas.microsoft.com/office/infopath/2007/PartnerControls"/>
    <ds:schemaRef ds:uri="b8c5fd56-fc94-478d-9aa1-a5c57d0fc893"/>
    <ds:schemaRef ds:uri="3847e427-83eb-4fa3-b554-8dd87ecd4673"/>
  </ds:schemaRefs>
</ds:datastoreItem>
</file>

<file path=customXml/itemProps3.xml><?xml version="1.0" encoding="utf-8"?>
<ds:datastoreItem xmlns:ds="http://schemas.openxmlformats.org/officeDocument/2006/customXml" ds:itemID="{92B0F789-00F6-4668-AA3B-2AF128210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7e427-83eb-4fa3-b554-8dd87ecd4673"/>
    <ds:schemaRef ds:uri="b8c5fd56-fc94-478d-9aa1-a5c57d0fc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AAF48-30C2-C647-BDCA-89833B72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4841</Words>
  <Characters>27598</Characters>
  <Application>Microsoft Office Word</Application>
  <DocSecurity>0</DocSecurity>
  <Lines>229</Lines>
  <Paragraphs>64</Paragraphs>
  <ScaleCrop>false</ScaleCrop>
  <Company/>
  <LinksUpToDate>false</LinksUpToDate>
  <CharactersWithSpaces>32375</CharactersWithSpaces>
  <SharedDoc>false</SharedDoc>
  <HLinks>
    <vt:vector size="12" baseType="variant">
      <vt:variant>
        <vt:i4>3211336</vt:i4>
      </vt:variant>
      <vt:variant>
        <vt:i4>3</vt:i4>
      </vt:variant>
      <vt:variant>
        <vt:i4>0</vt:i4>
      </vt:variant>
      <vt:variant>
        <vt:i4>5</vt:i4>
      </vt:variant>
      <vt:variant>
        <vt:lpwstr>mailto:nfidgeon@anzca.edu.au</vt:lpwstr>
      </vt:variant>
      <vt:variant>
        <vt:lpwstr/>
      </vt:variant>
      <vt:variant>
        <vt:i4>6357007</vt:i4>
      </vt:variant>
      <vt:variant>
        <vt:i4>0</vt:i4>
      </vt:variant>
      <vt:variant>
        <vt:i4>0</vt:i4>
      </vt:variant>
      <vt:variant>
        <vt:i4>5</vt:i4>
      </vt:variant>
      <vt:variant>
        <vt:lpwstr>mailto:accreditation@amc.org.au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Nilusha Moses</cp:lastModifiedBy>
  <cp:revision>391</cp:revision>
  <dcterms:created xsi:type="dcterms:W3CDTF">2024-10-10T20:57:00Z</dcterms:created>
  <dcterms:modified xsi:type="dcterms:W3CDTF">2024-11-10T22:16:00Z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0x01010043C22B9C254E11438E42F8D4F3FC641B</vt:lpwstr>
  </property>
  <property fmtid="{D5CDD505-2E9C-101B-9397-08002B2CF9AE}" pid="3" name="MediaServiceImageTags">
    <vt:lpwstr/>
  </property>
  <property fmtid="{D5CDD505-2E9C-101B-9397-08002B2CF9AE}" pid="4" name="MSIP_Label_84d18e89-5e8a-4ca2-bd48-6453468d8b8c_Enabled">
    <vt:lpwstr>true</vt:lpwstr>
  </property>
  <property fmtid="{D5CDD505-2E9C-101B-9397-08002B2CF9AE}" pid="5" name="MSIP_Label_84d18e89-5e8a-4ca2-bd48-6453468d8b8c_SetDate">
    <vt:lpwstr>2024-10-10T02:57:17Z</vt:lpwstr>
  </property>
  <property fmtid="{D5CDD505-2E9C-101B-9397-08002B2CF9AE}" pid="6" name="MSIP_Label_84d18e89-5e8a-4ca2-bd48-6453468d8b8c_Method">
    <vt:lpwstr>Standard</vt:lpwstr>
  </property>
  <property fmtid="{D5CDD505-2E9C-101B-9397-08002B2CF9AE}" pid="7" name="MSIP_Label_84d18e89-5e8a-4ca2-bd48-6453468d8b8c_Name">
    <vt:lpwstr>OFFICIAL</vt:lpwstr>
  </property>
  <property fmtid="{D5CDD505-2E9C-101B-9397-08002B2CF9AE}" pid="8" name="MSIP_Label_84d18e89-5e8a-4ca2-bd48-6453468d8b8c_SiteId">
    <vt:lpwstr>686372ff-30d4-4fe7-ae86-2cba12b991df</vt:lpwstr>
  </property>
  <property fmtid="{D5CDD505-2E9C-101B-9397-08002B2CF9AE}" pid="9" name="MSIP_Label_84d18e89-5e8a-4ca2-bd48-6453468d8b8c_ActionId">
    <vt:lpwstr>3dadc17a-34c7-486c-a5a4-b7a026d9a8c0</vt:lpwstr>
  </property>
  <property fmtid="{D5CDD505-2E9C-101B-9397-08002B2CF9AE}" pid="10" name="MSIP_Label_84d18e89-5e8a-4ca2-bd48-6453468d8b8c_ContentBits">
    <vt:lpwstr>0</vt:lpwstr>
  </property>
  <property fmtid="{D5CDD505-2E9C-101B-9397-08002B2CF9AE}" pid="11" name="TaxKeyword">
    <vt:lpwstr/>
  </property>
</Properties>
</file>